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50" w:type="dxa"/>
        <w:tblLayout w:type="fixed"/>
        <w:tblLook w:val="00A0" w:firstRow="1" w:lastRow="0" w:firstColumn="1" w:lastColumn="0" w:noHBand="0" w:noVBand="0"/>
      </w:tblPr>
      <w:tblGrid>
        <w:gridCol w:w="2093"/>
        <w:gridCol w:w="1984"/>
        <w:gridCol w:w="531"/>
        <w:gridCol w:w="4147"/>
        <w:gridCol w:w="1163"/>
        <w:gridCol w:w="1717"/>
        <w:gridCol w:w="1126"/>
        <w:gridCol w:w="1097"/>
        <w:gridCol w:w="992"/>
      </w:tblGrid>
      <w:tr w:rsidR="00DE4D17" w:rsidRPr="00646B7F" w14:paraId="45321E2E" w14:textId="77777777" w:rsidTr="0059259E">
        <w:trPr>
          <w:trHeight w:val="454"/>
        </w:trPr>
        <w:tc>
          <w:tcPr>
            <w:tcW w:w="4608" w:type="dxa"/>
            <w:gridSpan w:val="3"/>
            <w:tcBorders>
              <w:top w:val="single" w:sz="4" w:space="0" w:color="auto"/>
              <w:left w:val="single" w:sz="4" w:space="0" w:color="auto"/>
              <w:bottom w:val="single" w:sz="4" w:space="0" w:color="auto"/>
              <w:right w:val="single" w:sz="4" w:space="0" w:color="auto"/>
            </w:tcBorders>
            <w:shd w:val="clear" w:color="auto" w:fill="CC9966"/>
          </w:tcPr>
          <w:p w14:paraId="3C7D4C63" w14:textId="77777777" w:rsidR="00DE4D17" w:rsidRPr="00646B7F" w:rsidRDefault="00DE4D17" w:rsidP="00B20D4A">
            <w:pPr>
              <w:spacing w:after="0"/>
              <w:rPr>
                <w:rFonts w:ascii="Arial Narrow" w:hAnsi="Arial Narrow"/>
                <w:sz w:val="22"/>
              </w:rPr>
            </w:pPr>
            <w:r w:rsidRPr="00646B7F">
              <w:rPr>
                <w:rFonts w:ascii="Arial Narrow" w:hAnsi="Arial Narrow"/>
                <w:sz w:val="22"/>
              </w:rPr>
              <w:t>Ref:</w:t>
            </w:r>
          </w:p>
        </w:tc>
        <w:tc>
          <w:tcPr>
            <w:tcW w:w="10242" w:type="dxa"/>
            <w:gridSpan w:val="6"/>
            <w:tcBorders>
              <w:top w:val="single" w:sz="4" w:space="0" w:color="auto"/>
              <w:left w:val="single" w:sz="4" w:space="0" w:color="auto"/>
              <w:bottom w:val="single" w:sz="4" w:space="0" w:color="auto"/>
              <w:right w:val="single" w:sz="4" w:space="0" w:color="auto"/>
            </w:tcBorders>
            <w:shd w:val="clear" w:color="auto" w:fill="CC9966"/>
          </w:tcPr>
          <w:p w14:paraId="2DE855D8" w14:textId="77777777" w:rsidR="00DE4D17" w:rsidRPr="00646B7F" w:rsidRDefault="00DE4D17" w:rsidP="00B20D4A">
            <w:pPr>
              <w:spacing w:after="0"/>
              <w:rPr>
                <w:rFonts w:ascii="Arial Narrow" w:hAnsi="Arial Narrow"/>
                <w:sz w:val="22"/>
              </w:rPr>
            </w:pPr>
            <w:r w:rsidRPr="00646B7F">
              <w:rPr>
                <w:rFonts w:ascii="Arial Narrow" w:hAnsi="Arial Narrow"/>
                <w:sz w:val="22"/>
              </w:rPr>
              <w:t>Description:</w:t>
            </w:r>
          </w:p>
        </w:tc>
      </w:tr>
      <w:tr w:rsidR="00DE4D17" w:rsidRPr="00646B7F" w14:paraId="3A6ACF53" w14:textId="77777777" w:rsidTr="0059259E">
        <w:trPr>
          <w:trHeight w:val="454"/>
        </w:trPr>
        <w:tc>
          <w:tcPr>
            <w:tcW w:w="4608" w:type="dxa"/>
            <w:gridSpan w:val="3"/>
            <w:tcBorders>
              <w:top w:val="single" w:sz="4" w:space="0" w:color="auto"/>
              <w:left w:val="single" w:sz="4" w:space="0" w:color="auto"/>
              <w:bottom w:val="single" w:sz="4" w:space="0" w:color="auto"/>
              <w:right w:val="single" w:sz="4" w:space="0" w:color="auto"/>
            </w:tcBorders>
            <w:shd w:val="clear" w:color="auto" w:fill="CC9966"/>
          </w:tcPr>
          <w:p w14:paraId="2EBC94F7" w14:textId="77777777" w:rsidR="00DE4D17" w:rsidRPr="00646B7F" w:rsidRDefault="00DE4D17" w:rsidP="00B20D4A">
            <w:pPr>
              <w:spacing w:after="0"/>
              <w:rPr>
                <w:rFonts w:ascii="Arial Narrow" w:hAnsi="Arial Narrow"/>
                <w:sz w:val="22"/>
              </w:rPr>
            </w:pPr>
            <w:r w:rsidRPr="00646B7F">
              <w:rPr>
                <w:rFonts w:ascii="Arial Narrow" w:hAnsi="Arial Narrow"/>
                <w:sz w:val="22"/>
              </w:rPr>
              <w:t>Assessment Date:</w:t>
            </w:r>
          </w:p>
        </w:tc>
        <w:tc>
          <w:tcPr>
            <w:tcW w:w="10242" w:type="dxa"/>
            <w:gridSpan w:val="6"/>
            <w:tcBorders>
              <w:top w:val="single" w:sz="4" w:space="0" w:color="auto"/>
              <w:left w:val="single" w:sz="4" w:space="0" w:color="auto"/>
              <w:bottom w:val="single" w:sz="4" w:space="0" w:color="auto"/>
              <w:right w:val="single" w:sz="4" w:space="0" w:color="auto"/>
            </w:tcBorders>
            <w:shd w:val="clear" w:color="auto" w:fill="CC9966"/>
          </w:tcPr>
          <w:p w14:paraId="13ABA1CC" w14:textId="77777777" w:rsidR="00DE4D17" w:rsidRPr="00646B7F" w:rsidRDefault="00DE4D17" w:rsidP="00B20D4A">
            <w:pPr>
              <w:spacing w:after="0"/>
              <w:rPr>
                <w:rFonts w:ascii="Arial Narrow" w:hAnsi="Arial Narrow"/>
                <w:sz w:val="22"/>
              </w:rPr>
            </w:pPr>
            <w:r w:rsidRPr="00646B7F">
              <w:rPr>
                <w:rFonts w:ascii="Arial Narrow" w:hAnsi="Arial Narrow"/>
                <w:sz w:val="22"/>
              </w:rPr>
              <w:t>Location/Site:</w:t>
            </w:r>
          </w:p>
        </w:tc>
      </w:tr>
      <w:tr w:rsidR="00DE4D17" w:rsidRPr="00646B7F" w14:paraId="7C977AFF" w14:textId="77777777" w:rsidTr="0059259E">
        <w:trPr>
          <w:trHeight w:val="454"/>
        </w:trPr>
        <w:tc>
          <w:tcPr>
            <w:tcW w:w="4608" w:type="dxa"/>
            <w:gridSpan w:val="3"/>
            <w:tcBorders>
              <w:top w:val="single" w:sz="4" w:space="0" w:color="auto"/>
              <w:left w:val="single" w:sz="4" w:space="0" w:color="auto"/>
              <w:bottom w:val="single" w:sz="4" w:space="0" w:color="auto"/>
              <w:right w:val="single" w:sz="4" w:space="0" w:color="auto"/>
            </w:tcBorders>
            <w:shd w:val="clear" w:color="auto" w:fill="CC9966"/>
          </w:tcPr>
          <w:p w14:paraId="2EA0702E" w14:textId="77777777" w:rsidR="00DE4D17" w:rsidRPr="00646B7F" w:rsidRDefault="00DE4D17" w:rsidP="00B20D4A">
            <w:pPr>
              <w:spacing w:after="0"/>
              <w:rPr>
                <w:rFonts w:ascii="Arial Narrow" w:hAnsi="Arial Narrow"/>
                <w:sz w:val="22"/>
              </w:rPr>
            </w:pPr>
            <w:r w:rsidRPr="00646B7F">
              <w:rPr>
                <w:rFonts w:ascii="Arial Narrow" w:hAnsi="Arial Narrow"/>
                <w:sz w:val="22"/>
              </w:rPr>
              <w:t>Assessor:</w:t>
            </w:r>
          </w:p>
        </w:tc>
        <w:tc>
          <w:tcPr>
            <w:tcW w:w="10242" w:type="dxa"/>
            <w:gridSpan w:val="6"/>
            <w:tcBorders>
              <w:top w:val="single" w:sz="4" w:space="0" w:color="auto"/>
              <w:left w:val="single" w:sz="4" w:space="0" w:color="auto"/>
              <w:bottom w:val="single" w:sz="4" w:space="0" w:color="auto"/>
              <w:right w:val="single" w:sz="4" w:space="0" w:color="auto"/>
            </w:tcBorders>
            <w:shd w:val="clear" w:color="auto" w:fill="CC9966"/>
          </w:tcPr>
          <w:p w14:paraId="5BFC640F" w14:textId="77777777" w:rsidR="00DE4D17" w:rsidRPr="00646B7F" w:rsidRDefault="00DE4D17" w:rsidP="00B20D4A">
            <w:pPr>
              <w:spacing w:after="0"/>
              <w:rPr>
                <w:rFonts w:ascii="Arial Narrow" w:hAnsi="Arial Narrow"/>
                <w:sz w:val="22"/>
              </w:rPr>
            </w:pPr>
            <w:r w:rsidRPr="00646B7F">
              <w:rPr>
                <w:rFonts w:ascii="Arial Narrow" w:hAnsi="Arial Narrow"/>
                <w:sz w:val="22"/>
              </w:rPr>
              <w:t>Department:</w:t>
            </w:r>
          </w:p>
        </w:tc>
      </w:tr>
      <w:tr w:rsidR="00DE4D17" w:rsidRPr="00646B7F" w14:paraId="7A126305" w14:textId="77777777" w:rsidTr="0059259E">
        <w:trPr>
          <w:trHeight w:val="454"/>
        </w:trPr>
        <w:tc>
          <w:tcPr>
            <w:tcW w:w="4608" w:type="dxa"/>
            <w:gridSpan w:val="3"/>
            <w:tcBorders>
              <w:top w:val="single" w:sz="4" w:space="0" w:color="auto"/>
              <w:left w:val="single" w:sz="4" w:space="0" w:color="auto"/>
              <w:bottom w:val="single" w:sz="4" w:space="0" w:color="auto"/>
              <w:right w:val="single" w:sz="4" w:space="0" w:color="auto"/>
            </w:tcBorders>
            <w:shd w:val="clear" w:color="auto" w:fill="CC9966"/>
          </w:tcPr>
          <w:p w14:paraId="5A5689E3" w14:textId="77777777" w:rsidR="00DE4D17" w:rsidRPr="00646B7F" w:rsidRDefault="00DE4D17" w:rsidP="00B20D4A">
            <w:pPr>
              <w:spacing w:after="0"/>
              <w:rPr>
                <w:rFonts w:ascii="Arial Narrow" w:hAnsi="Arial Narrow"/>
                <w:sz w:val="22"/>
              </w:rPr>
            </w:pPr>
            <w:r w:rsidRPr="00646B7F">
              <w:rPr>
                <w:rFonts w:ascii="Arial Narrow" w:hAnsi="Arial Narrow"/>
                <w:sz w:val="22"/>
              </w:rPr>
              <w:t>Assessment Team::</w:t>
            </w:r>
          </w:p>
        </w:tc>
        <w:tc>
          <w:tcPr>
            <w:tcW w:w="10242" w:type="dxa"/>
            <w:gridSpan w:val="6"/>
            <w:tcBorders>
              <w:top w:val="single" w:sz="4" w:space="0" w:color="auto"/>
              <w:left w:val="single" w:sz="4" w:space="0" w:color="auto"/>
              <w:bottom w:val="single" w:sz="4" w:space="0" w:color="auto"/>
              <w:right w:val="single" w:sz="4" w:space="0" w:color="auto"/>
            </w:tcBorders>
            <w:shd w:val="clear" w:color="auto" w:fill="CC9966"/>
          </w:tcPr>
          <w:p w14:paraId="44F4B00B" w14:textId="77777777" w:rsidR="00DE4D17" w:rsidRPr="00646B7F" w:rsidRDefault="00DE4D17" w:rsidP="00B20D4A">
            <w:pPr>
              <w:spacing w:after="0"/>
              <w:rPr>
                <w:rFonts w:ascii="Arial Narrow" w:hAnsi="Arial Narrow"/>
                <w:sz w:val="22"/>
              </w:rPr>
            </w:pPr>
            <w:r w:rsidRPr="00646B7F">
              <w:rPr>
                <w:rFonts w:ascii="Arial Narrow" w:hAnsi="Arial Narrow"/>
                <w:sz w:val="22"/>
              </w:rPr>
              <w:t>Persons Exposed:</w:t>
            </w:r>
          </w:p>
        </w:tc>
      </w:tr>
      <w:tr w:rsidR="00DE4D17" w:rsidRPr="00646B7F" w14:paraId="40809EAB" w14:textId="77777777" w:rsidTr="0059259E">
        <w:trPr>
          <w:trHeight w:val="794"/>
        </w:trPr>
        <w:tc>
          <w:tcPr>
            <w:tcW w:w="14850" w:type="dxa"/>
            <w:gridSpan w:val="9"/>
            <w:tcBorders>
              <w:top w:val="single" w:sz="4" w:space="0" w:color="auto"/>
              <w:left w:val="single" w:sz="6" w:space="0" w:color="auto"/>
              <w:bottom w:val="single" w:sz="6" w:space="0" w:color="auto"/>
              <w:right w:val="single" w:sz="6" w:space="0" w:color="auto"/>
            </w:tcBorders>
            <w:shd w:val="clear" w:color="auto" w:fill="CC9966"/>
          </w:tcPr>
          <w:p w14:paraId="2E6DAC88" w14:textId="77777777" w:rsidR="00DE4D17" w:rsidRPr="00646B7F" w:rsidRDefault="00DE4D17" w:rsidP="00B20D4A">
            <w:pPr>
              <w:spacing w:after="0"/>
              <w:rPr>
                <w:rFonts w:ascii="Arial Narrow" w:hAnsi="Arial Narrow"/>
                <w:sz w:val="22"/>
              </w:rPr>
            </w:pPr>
            <w:r>
              <w:rPr>
                <w:rFonts w:ascii="Arial Narrow" w:hAnsi="Arial Narrow"/>
                <w:sz w:val="22"/>
              </w:rPr>
              <w:t>Activity/Task:</w:t>
            </w:r>
            <w:r w:rsidRPr="00C53DD0">
              <w:rPr>
                <w:rFonts w:ascii="Arial Narrow" w:hAnsi="Arial Narrow"/>
                <w:b/>
                <w:sz w:val="22"/>
              </w:rPr>
              <w:t xml:space="preserve"> Template driving on Council business risk assessment</w:t>
            </w:r>
          </w:p>
        </w:tc>
      </w:tr>
      <w:tr w:rsidR="00DE4D17" w:rsidRPr="00C53DD0" w14:paraId="573B9C8C"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val="restart"/>
            <w:tcBorders>
              <w:top w:val="single" w:sz="4" w:space="0" w:color="auto"/>
            </w:tcBorders>
          </w:tcPr>
          <w:p w14:paraId="2153E7FB" w14:textId="77777777" w:rsidR="00DE4D17" w:rsidRPr="00C53DD0" w:rsidRDefault="00DE4D17" w:rsidP="00B20D4A">
            <w:pPr>
              <w:spacing w:before="120" w:after="120"/>
              <w:rPr>
                <w:rFonts w:ascii="Arial" w:hAnsi="Arial" w:cs="Arial"/>
                <w:b/>
                <w:color w:val="993300"/>
                <w:sz w:val="20"/>
              </w:rPr>
            </w:pPr>
            <w:r w:rsidRPr="00C53DD0">
              <w:rPr>
                <w:rFonts w:ascii="Arial" w:hAnsi="Arial" w:cs="Arial"/>
                <w:b/>
                <w:color w:val="993300"/>
                <w:sz w:val="20"/>
              </w:rPr>
              <w:t>Step 1</w:t>
            </w:r>
          </w:p>
          <w:p w14:paraId="2AF74434" w14:textId="77777777" w:rsidR="00DE4D17" w:rsidRPr="00C53DD0" w:rsidRDefault="00DE4D17" w:rsidP="00B20D4A">
            <w:pPr>
              <w:spacing w:before="120" w:after="120"/>
              <w:jc w:val="left"/>
              <w:rPr>
                <w:rFonts w:ascii="Arial" w:hAnsi="Arial" w:cs="Arial"/>
                <w:b/>
                <w:color w:val="993300"/>
                <w:sz w:val="20"/>
              </w:rPr>
            </w:pPr>
            <w:r w:rsidRPr="00C53DD0">
              <w:rPr>
                <w:rFonts w:ascii="Arial" w:hAnsi="Arial" w:cs="Arial"/>
                <w:b/>
                <w:color w:val="993300"/>
                <w:sz w:val="20"/>
              </w:rPr>
              <w:t>What are the hazards? It may be helpful to break the task or situation down</w:t>
            </w:r>
          </w:p>
        </w:tc>
        <w:tc>
          <w:tcPr>
            <w:tcW w:w="1984" w:type="dxa"/>
            <w:vMerge w:val="restart"/>
            <w:tcBorders>
              <w:top w:val="single" w:sz="4" w:space="0" w:color="auto"/>
            </w:tcBorders>
          </w:tcPr>
          <w:p w14:paraId="6B004552" w14:textId="77777777" w:rsidR="00DE4D17" w:rsidRPr="00C53DD0" w:rsidRDefault="00DE4D17" w:rsidP="00B20D4A">
            <w:pPr>
              <w:spacing w:before="120" w:after="120"/>
              <w:rPr>
                <w:rFonts w:ascii="Arial" w:hAnsi="Arial" w:cs="Arial"/>
                <w:b/>
                <w:color w:val="008000"/>
                <w:sz w:val="20"/>
              </w:rPr>
            </w:pPr>
            <w:r w:rsidRPr="00C53DD0">
              <w:rPr>
                <w:rFonts w:ascii="Arial" w:hAnsi="Arial" w:cs="Arial"/>
                <w:b/>
                <w:color w:val="008000"/>
                <w:sz w:val="20"/>
              </w:rPr>
              <w:t>Step 2</w:t>
            </w:r>
          </w:p>
          <w:p w14:paraId="0470511B" w14:textId="77777777" w:rsidR="00DE4D17" w:rsidRPr="00C53DD0" w:rsidRDefault="00DE4D17" w:rsidP="00B20D4A">
            <w:pPr>
              <w:spacing w:before="120" w:after="120"/>
              <w:jc w:val="left"/>
              <w:rPr>
                <w:rFonts w:ascii="Arial" w:hAnsi="Arial" w:cs="Arial"/>
                <w:b/>
                <w:color w:val="008000"/>
                <w:sz w:val="20"/>
              </w:rPr>
            </w:pPr>
            <w:r w:rsidRPr="00C53DD0">
              <w:rPr>
                <w:rFonts w:ascii="Arial" w:hAnsi="Arial" w:cs="Arial"/>
                <w:b/>
                <w:color w:val="008000"/>
                <w:sz w:val="20"/>
              </w:rPr>
              <w:t>Who might be harmed and how?</w:t>
            </w:r>
          </w:p>
        </w:tc>
        <w:tc>
          <w:tcPr>
            <w:tcW w:w="4678" w:type="dxa"/>
            <w:gridSpan w:val="2"/>
            <w:vMerge w:val="restart"/>
            <w:tcBorders>
              <w:top w:val="single" w:sz="4" w:space="0" w:color="auto"/>
            </w:tcBorders>
          </w:tcPr>
          <w:p w14:paraId="63E42517" w14:textId="77777777" w:rsidR="00DE4D17" w:rsidRPr="00C53DD0" w:rsidRDefault="00DE4D17" w:rsidP="00B20D4A">
            <w:pPr>
              <w:spacing w:before="120" w:after="120"/>
              <w:rPr>
                <w:rFonts w:ascii="Arial" w:hAnsi="Arial" w:cs="Arial"/>
                <w:b/>
                <w:color w:val="0000FF"/>
                <w:sz w:val="20"/>
              </w:rPr>
            </w:pPr>
          </w:p>
          <w:p w14:paraId="426FCA9B" w14:textId="77777777" w:rsidR="00DE4D17" w:rsidRPr="00C53DD0" w:rsidRDefault="00DE4D17" w:rsidP="00B20D4A">
            <w:pPr>
              <w:spacing w:before="120" w:after="120"/>
              <w:rPr>
                <w:rFonts w:ascii="Arial" w:hAnsi="Arial" w:cs="Arial"/>
                <w:b/>
                <w:color w:val="0000FF"/>
                <w:sz w:val="20"/>
              </w:rPr>
            </w:pPr>
            <w:r w:rsidRPr="00C53DD0">
              <w:rPr>
                <w:rFonts w:ascii="Arial" w:hAnsi="Arial" w:cs="Arial"/>
                <w:b/>
                <w:color w:val="0000FF"/>
                <w:sz w:val="20"/>
              </w:rPr>
              <w:t>What are you already doing?</w:t>
            </w:r>
          </w:p>
        </w:tc>
        <w:tc>
          <w:tcPr>
            <w:tcW w:w="2880" w:type="dxa"/>
            <w:gridSpan w:val="2"/>
            <w:vMerge w:val="restart"/>
            <w:tcBorders>
              <w:top w:val="single" w:sz="4" w:space="0" w:color="auto"/>
            </w:tcBorders>
            <w:shd w:val="clear" w:color="auto" w:fill="auto"/>
          </w:tcPr>
          <w:p w14:paraId="55BC81B0" w14:textId="77777777" w:rsidR="00DE4D17" w:rsidRPr="00C53DD0" w:rsidRDefault="00DE4D17" w:rsidP="00B20D4A">
            <w:pPr>
              <w:spacing w:before="120" w:after="120"/>
              <w:rPr>
                <w:rFonts w:ascii="Arial" w:hAnsi="Arial" w:cs="Arial"/>
                <w:b/>
                <w:color w:val="0000FF"/>
                <w:sz w:val="20"/>
              </w:rPr>
            </w:pPr>
            <w:r w:rsidRPr="00C53DD0">
              <w:rPr>
                <w:rFonts w:ascii="Arial" w:hAnsi="Arial" w:cs="Arial"/>
                <w:b/>
                <w:color w:val="0000FF"/>
                <w:sz w:val="20"/>
              </w:rPr>
              <w:t>Step 3:</w:t>
            </w:r>
          </w:p>
          <w:p w14:paraId="3BC80D90" w14:textId="77777777" w:rsidR="00DE4D17" w:rsidRPr="00C53DD0" w:rsidRDefault="00DE4D17" w:rsidP="00B20D4A">
            <w:pPr>
              <w:spacing w:before="120" w:after="120"/>
              <w:jc w:val="left"/>
              <w:rPr>
                <w:rFonts w:ascii="Arial" w:hAnsi="Arial" w:cs="Arial"/>
                <w:b/>
                <w:color w:val="0000FF"/>
                <w:sz w:val="20"/>
              </w:rPr>
            </w:pPr>
            <w:r w:rsidRPr="00C53DD0">
              <w:rPr>
                <w:rFonts w:ascii="Arial" w:hAnsi="Arial" w:cs="Arial"/>
                <w:b/>
                <w:color w:val="0000FF"/>
                <w:sz w:val="20"/>
              </w:rPr>
              <w:t xml:space="preserve">What further action is necessary? – </w:t>
            </w:r>
            <w:r w:rsidRPr="00C53DD0">
              <w:rPr>
                <w:rFonts w:ascii="Arial" w:hAnsi="Arial" w:cs="Arial"/>
                <w:color w:val="0000FF"/>
                <w:sz w:val="20"/>
              </w:rPr>
              <w:t xml:space="preserve">to reduce  risks ‘so far as is reasonably practicable’, one way of doing this is to compare against accepted good practice. </w:t>
            </w:r>
          </w:p>
        </w:tc>
        <w:tc>
          <w:tcPr>
            <w:tcW w:w="3215" w:type="dxa"/>
            <w:gridSpan w:val="3"/>
            <w:tcBorders>
              <w:top w:val="single" w:sz="4" w:space="0" w:color="auto"/>
            </w:tcBorders>
            <w:shd w:val="clear" w:color="auto" w:fill="auto"/>
          </w:tcPr>
          <w:p w14:paraId="04BD11E0" w14:textId="77777777" w:rsidR="00DE4D17" w:rsidRPr="00C53DD0" w:rsidRDefault="00DE4D17" w:rsidP="00B20D4A">
            <w:pPr>
              <w:spacing w:before="120" w:after="120"/>
              <w:rPr>
                <w:rFonts w:ascii="Arial" w:hAnsi="Arial" w:cs="Arial"/>
                <w:b/>
                <w:color w:val="800080"/>
                <w:sz w:val="20"/>
              </w:rPr>
            </w:pPr>
            <w:r w:rsidRPr="00C53DD0">
              <w:rPr>
                <w:rFonts w:ascii="Arial" w:hAnsi="Arial" w:cs="Arial"/>
                <w:b/>
                <w:color w:val="800080"/>
                <w:sz w:val="20"/>
              </w:rPr>
              <w:t>Step 4:</w:t>
            </w:r>
          </w:p>
          <w:p w14:paraId="64637991" w14:textId="77777777" w:rsidR="00DE4D17" w:rsidRPr="00C53DD0" w:rsidRDefault="00DE4D17" w:rsidP="00B20D4A">
            <w:pPr>
              <w:pStyle w:val="BodyText"/>
              <w:spacing w:before="120" w:after="120"/>
              <w:rPr>
                <w:rFonts w:ascii="Arial" w:hAnsi="Arial" w:cs="Arial"/>
                <w:b/>
                <w:sz w:val="20"/>
              </w:rPr>
            </w:pPr>
            <w:r w:rsidRPr="00C53DD0">
              <w:rPr>
                <w:rFonts w:ascii="Arial" w:hAnsi="Arial" w:cs="Arial"/>
                <w:b/>
                <w:color w:val="800080"/>
                <w:sz w:val="20"/>
              </w:rPr>
              <w:t xml:space="preserve">How will you put the Assessment into action? - </w:t>
            </w:r>
            <w:r w:rsidRPr="00C53DD0">
              <w:rPr>
                <w:rFonts w:ascii="Arial" w:hAnsi="Arial" w:cs="Arial"/>
                <w:color w:val="800080"/>
                <w:sz w:val="20"/>
              </w:rPr>
              <w:t>remember to prioritise actions - ‘high risk’ hazards first</w:t>
            </w:r>
          </w:p>
        </w:tc>
      </w:tr>
      <w:tr w:rsidR="00DE4D17" w:rsidRPr="00C53DD0" w14:paraId="7D93A116"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vMerge/>
            <w:tcBorders>
              <w:bottom w:val="single" w:sz="4" w:space="0" w:color="auto"/>
            </w:tcBorders>
          </w:tcPr>
          <w:p w14:paraId="24F17DC7" w14:textId="77777777" w:rsidR="00DE4D17" w:rsidRPr="00C53DD0" w:rsidRDefault="00DE4D17" w:rsidP="00B20D4A">
            <w:pPr>
              <w:pStyle w:val="BodyText"/>
              <w:spacing w:before="120" w:after="120"/>
              <w:rPr>
                <w:rFonts w:ascii="Arial" w:hAnsi="Arial" w:cs="Arial"/>
                <w:b/>
                <w:color w:val="993300"/>
                <w:sz w:val="20"/>
              </w:rPr>
            </w:pPr>
          </w:p>
        </w:tc>
        <w:tc>
          <w:tcPr>
            <w:tcW w:w="1984" w:type="dxa"/>
            <w:vMerge/>
            <w:tcBorders>
              <w:bottom w:val="single" w:sz="4" w:space="0" w:color="auto"/>
            </w:tcBorders>
          </w:tcPr>
          <w:p w14:paraId="5F7309BE" w14:textId="77777777" w:rsidR="00DE4D17" w:rsidRPr="00C53DD0" w:rsidRDefault="00DE4D17" w:rsidP="00B20D4A">
            <w:pPr>
              <w:pStyle w:val="BodyText"/>
              <w:spacing w:before="120" w:after="120"/>
              <w:rPr>
                <w:rFonts w:ascii="Arial" w:hAnsi="Arial" w:cs="Arial"/>
                <w:sz w:val="20"/>
              </w:rPr>
            </w:pPr>
          </w:p>
        </w:tc>
        <w:tc>
          <w:tcPr>
            <w:tcW w:w="4678" w:type="dxa"/>
            <w:gridSpan w:val="2"/>
            <w:vMerge/>
            <w:tcBorders>
              <w:bottom w:val="single" w:sz="4" w:space="0" w:color="auto"/>
            </w:tcBorders>
          </w:tcPr>
          <w:p w14:paraId="5B499EAE" w14:textId="77777777" w:rsidR="00DE4D17" w:rsidRPr="00C53DD0" w:rsidRDefault="00DE4D17" w:rsidP="00B20D4A">
            <w:pPr>
              <w:pStyle w:val="BodyText"/>
              <w:spacing w:before="120" w:after="120"/>
              <w:rPr>
                <w:rFonts w:ascii="Arial" w:hAnsi="Arial" w:cs="Arial"/>
                <w:sz w:val="20"/>
              </w:rPr>
            </w:pPr>
          </w:p>
        </w:tc>
        <w:tc>
          <w:tcPr>
            <w:tcW w:w="2880" w:type="dxa"/>
            <w:gridSpan w:val="2"/>
            <w:vMerge/>
            <w:tcBorders>
              <w:bottom w:val="single" w:sz="4" w:space="0" w:color="auto"/>
            </w:tcBorders>
            <w:shd w:val="clear" w:color="auto" w:fill="auto"/>
          </w:tcPr>
          <w:p w14:paraId="32595F31" w14:textId="77777777" w:rsidR="00DE4D17" w:rsidRPr="00C53DD0" w:rsidRDefault="00DE4D17" w:rsidP="00B20D4A">
            <w:pPr>
              <w:pStyle w:val="BodyText"/>
              <w:spacing w:before="120" w:after="120"/>
              <w:rPr>
                <w:rFonts w:ascii="Arial" w:hAnsi="Arial" w:cs="Arial"/>
                <w:sz w:val="20"/>
              </w:rPr>
            </w:pPr>
          </w:p>
        </w:tc>
        <w:tc>
          <w:tcPr>
            <w:tcW w:w="1126" w:type="dxa"/>
            <w:tcBorders>
              <w:top w:val="single" w:sz="4" w:space="0" w:color="auto"/>
              <w:bottom w:val="single" w:sz="4" w:space="0" w:color="auto"/>
              <w:right w:val="single" w:sz="4" w:space="0" w:color="auto"/>
            </w:tcBorders>
            <w:shd w:val="clear" w:color="auto" w:fill="auto"/>
          </w:tcPr>
          <w:p w14:paraId="29A59672" w14:textId="77777777" w:rsidR="00DE4D17" w:rsidRPr="00C53DD0" w:rsidRDefault="00DE4D17" w:rsidP="00B20D4A">
            <w:pPr>
              <w:spacing w:before="120" w:after="120"/>
              <w:rPr>
                <w:rFonts w:ascii="Arial" w:hAnsi="Arial" w:cs="Arial"/>
                <w:b/>
                <w:color w:val="800080"/>
                <w:sz w:val="20"/>
              </w:rPr>
            </w:pPr>
            <w:r w:rsidRPr="00C53DD0">
              <w:rPr>
                <w:rFonts w:ascii="Arial" w:hAnsi="Arial" w:cs="Arial"/>
                <w:b/>
                <w:color w:val="800080"/>
                <w:sz w:val="20"/>
              </w:rPr>
              <w:t>Action by who</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50895D5E" w14:textId="77777777" w:rsidR="00DE4D17" w:rsidRPr="00C53DD0" w:rsidRDefault="00DE4D17" w:rsidP="00B20D4A">
            <w:pPr>
              <w:pStyle w:val="BodyText"/>
              <w:spacing w:before="120" w:after="120"/>
              <w:rPr>
                <w:rFonts w:ascii="Arial" w:hAnsi="Arial" w:cs="Arial"/>
                <w:b/>
                <w:color w:val="993300"/>
                <w:sz w:val="20"/>
              </w:rPr>
            </w:pPr>
            <w:r w:rsidRPr="00C53DD0">
              <w:rPr>
                <w:rFonts w:ascii="Arial" w:hAnsi="Arial" w:cs="Arial"/>
                <w:b/>
                <w:color w:val="800080"/>
                <w:sz w:val="20"/>
              </w:rPr>
              <w:t>Action by when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FC3B4" w14:textId="77777777" w:rsidR="00DE4D17" w:rsidRPr="00C53DD0" w:rsidRDefault="00DE4D17" w:rsidP="00B20D4A">
            <w:pPr>
              <w:pStyle w:val="BodyText"/>
              <w:spacing w:before="120" w:after="120"/>
              <w:rPr>
                <w:rFonts w:ascii="Arial" w:hAnsi="Arial" w:cs="Arial"/>
                <w:sz w:val="20"/>
              </w:rPr>
            </w:pPr>
            <w:r w:rsidRPr="00C53DD0">
              <w:rPr>
                <w:rFonts w:ascii="Arial" w:hAnsi="Arial" w:cs="Arial"/>
                <w:b/>
                <w:color w:val="800080"/>
                <w:sz w:val="20"/>
              </w:rPr>
              <w:t>Done</w:t>
            </w:r>
          </w:p>
        </w:tc>
      </w:tr>
      <w:tr w:rsidR="00DE4D17" w:rsidRPr="00C53DD0" w14:paraId="3555097C"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093" w:type="dxa"/>
            <w:tcBorders>
              <w:top w:val="single" w:sz="4" w:space="0" w:color="auto"/>
              <w:left w:val="single" w:sz="4" w:space="0" w:color="auto"/>
              <w:bottom w:val="single" w:sz="4" w:space="0" w:color="auto"/>
              <w:right w:val="single" w:sz="4" w:space="0" w:color="auto"/>
            </w:tcBorders>
          </w:tcPr>
          <w:p w14:paraId="2397BAE3" w14:textId="77777777" w:rsidR="00DE4D17" w:rsidRPr="00C53DD0" w:rsidRDefault="00DE4D17" w:rsidP="00B20D4A">
            <w:pPr>
              <w:spacing w:before="120" w:after="120"/>
              <w:jc w:val="left"/>
              <w:rPr>
                <w:rFonts w:ascii="Arial" w:hAnsi="Arial"/>
                <w:sz w:val="16"/>
              </w:rPr>
            </w:pPr>
            <w:r w:rsidRPr="00C53DD0">
              <w:rPr>
                <w:rFonts w:ascii="Arial" w:hAnsi="Arial"/>
                <w:sz w:val="16"/>
              </w:rPr>
              <w:t>Driving.</w:t>
            </w:r>
          </w:p>
        </w:tc>
        <w:tc>
          <w:tcPr>
            <w:tcW w:w="1984" w:type="dxa"/>
            <w:tcBorders>
              <w:top w:val="single" w:sz="4" w:space="0" w:color="auto"/>
              <w:left w:val="single" w:sz="4" w:space="0" w:color="auto"/>
              <w:bottom w:val="single" w:sz="4" w:space="0" w:color="auto"/>
              <w:right w:val="single" w:sz="4" w:space="0" w:color="auto"/>
            </w:tcBorders>
          </w:tcPr>
          <w:p w14:paraId="0EE94D8A"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may be harmed by inability of driver to control vehicle effectively on the road.</w:t>
            </w:r>
          </w:p>
        </w:tc>
        <w:tc>
          <w:tcPr>
            <w:tcW w:w="4678" w:type="dxa"/>
            <w:gridSpan w:val="2"/>
            <w:tcBorders>
              <w:top w:val="single" w:sz="4" w:space="0" w:color="auto"/>
              <w:left w:val="single" w:sz="4" w:space="0" w:color="auto"/>
              <w:bottom w:val="single" w:sz="4" w:space="0" w:color="auto"/>
              <w:right w:val="single" w:sz="4" w:space="0" w:color="auto"/>
            </w:tcBorders>
          </w:tcPr>
          <w:p w14:paraId="27506E04" w14:textId="77777777" w:rsidR="00DE4D17" w:rsidRPr="00C53DD0" w:rsidRDefault="00DE4D17" w:rsidP="00B20D4A">
            <w:pPr>
              <w:autoSpaceDE w:val="0"/>
              <w:autoSpaceDN w:val="0"/>
              <w:adjustRightInd w:val="0"/>
              <w:spacing w:before="120" w:after="120"/>
              <w:jc w:val="left"/>
              <w:rPr>
                <w:rFonts w:ascii="Arial" w:hAnsi="Arial" w:cs="Arial"/>
                <w:sz w:val="16"/>
                <w:szCs w:val="22"/>
              </w:rPr>
            </w:pPr>
            <w:r w:rsidRPr="00C53DD0">
              <w:rPr>
                <w:rFonts w:ascii="Arial" w:hAnsi="Arial" w:cs="Arial"/>
                <w:sz w:val="16"/>
                <w:szCs w:val="22"/>
              </w:rPr>
              <w:t>Primary consideration should be given to avoiding the journey. It may be possible to conduct the business by telephone, video or telephone conferencing, e-mail or fax.</w:t>
            </w:r>
          </w:p>
          <w:p w14:paraId="539962D9" w14:textId="77777777" w:rsidR="00DE4D17" w:rsidRPr="002D0435" w:rsidRDefault="00DE4D17" w:rsidP="00B20D4A">
            <w:pPr>
              <w:autoSpaceDE w:val="0"/>
              <w:autoSpaceDN w:val="0"/>
              <w:adjustRightInd w:val="0"/>
              <w:spacing w:before="120" w:after="120"/>
              <w:jc w:val="left"/>
              <w:rPr>
                <w:rFonts w:ascii="Arial" w:hAnsi="Arial" w:cs="Arial"/>
                <w:sz w:val="16"/>
                <w:szCs w:val="22"/>
              </w:rPr>
            </w:pPr>
            <w:r w:rsidRPr="00C53DD0">
              <w:rPr>
                <w:rFonts w:ascii="Arial" w:hAnsi="Arial" w:cs="Arial"/>
                <w:sz w:val="16"/>
                <w:szCs w:val="22"/>
              </w:rPr>
              <w:t>Alternative, safer, means of travel, such as rail or air should be considered where this is a reasonably practicable alternative.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3E71FF0A"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652052A"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039CF0A2"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C81832" w14:textId="77777777" w:rsidR="00DE4D17" w:rsidRPr="00C53DD0" w:rsidRDefault="00DE4D17" w:rsidP="00B20D4A">
            <w:pPr>
              <w:spacing w:before="120" w:after="120"/>
              <w:jc w:val="left"/>
              <w:rPr>
                <w:rFonts w:ascii="Arial" w:hAnsi="Arial"/>
                <w:sz w:val="16"/>
              </w:rPr>
            </w:pPr>
          </w:p>
        </w:tc>
      </w:tr>
      <w:tr w:rsidR="00DE4D17" w:rsidRPr="00C53DD0" w14:paraId="7A955C52"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093" w:type="dxa"/>
            <w:tcBorders>
              <w:top w:val="single" w:sz="4" w:space="0" w:color="auto"/>
              <w:left w:val="single" w:sz="4" w:space="0" w:color="auto"/>
              <w:bottom w:val="single" w:sz="4" w:space="0" w:color="auto"/>
              <w:right w:val="single" w:sz="4" w:space="0" w:color="auto"/>
            </w:tcBorders>
          </w:tcPr>
          <w:p w14:paraId="1A59B34A" w14:textId="77777777" w:rsidR="00DE4D17" w:rsidRPr="00C53DD0" w:rsidRDefault="00DE4D17" w:rsidP="00B20D4A">
            <w:pPr>
              <w:spacing w:before="120" w:after="120"/>
              <w:jc w:val="left"/>
              <w:rPr>
                <w:rFonts w:ascii="Arial" w:hAnsi="Arial"/>
                <w:sz w:val="16"/>
              </w:rPr>
            </w:pPr>
            <w:r w:rsidRPr="00C53DD0">
              <w:rPr>
                <w:rFonts w:ascii="Arial" w:hAnsi="Arial"/>
                <w:sz w:val="16"/>
              </w:rPr>
              <w:t>Competency of drivers to drive safely on Council business in the UK.</w:t>
            </w:r>
          </w:p>
        </w:tc>
        <w:tc>
          <w:tcPr>
            <w:tcW w:w="1984" w:type="dxa"/>
            <w:tcBorders>
              <w:top w:val="single" w:sz="4" w:space="0" w:color="auto"/>
              <w:left w:val="single" w:sz="4" w:space="0" w:color="auto"/>
              <w:bottom w:val="single" w:sz="4" w:space="0" w:color="auto"/>
              <w:right w:val="single" w:sz="4" w:space="0" w:color="auto"/>
            </w:tcBorders>
          </w:tcPr>
          <w:p w14:paraId="7E3FDE2B" w14:textId="77777777" w:rsidR="00DE4D17" w:rsidRPr="00C53DD0" w:rsidRDefault="00DE4D17" w:rsidP="00B20D4A">
            <w:pPr>
              <w:spacing w:before="120" w:after="120"/>
              <w:jc w:val="left"/>
              <w:rPr>
                <w:rFonts w:ascii="Arial" w:hAnsi="Arial"/>
                <w:sz w:val="16"/>
              </w:rPr>
            </w:pPr>
            <w:r w:rsidRPr="00C53DD0">
              <w:rPr>
                <w:rFonts w:ascii="Arial" w:hAnsi="Arial"/>
                <w:sz w:val="16"/>
              </w:rPr>
              <w:t>Poor driving may lead to injury of driver and others.</w:t>
            </w:r>
          </w:p>
        </w:tc>
        <w:tc>
          <w:tcPr>
            <w:tcW w:w="4678" w:type="dxa"/>
            <w:gridSpan w:val="2"/>
            <w:tcBorders>
              <w:top w:val="single" w:sz="4" w:space="0" w:color="auto"/>
              <w:left w:val="single" w:sz="4" w:space="0" w:color="auto"/>
              <w:bottom w:val="single" w:sz="4" w:space="0" w:color="auto"/>
              <w:right w:val="single" w:sz="4" w:space="0" w:color="auto"/>
            </w:tcBorders>
          </w:tcPr>
          <w:p w14:paraId="733B11FA"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Drivers must be in possession of a valid UK Driving licence for the class/type of vehicle being driven.</w:t>
            </w:r>
          </w:p>
          <w:p w14:paraId="3C2D957D"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 xml:space="preserve">Drivers booking hire cars are required to have completed a Permit to Drive, </w:t>
            </w:r>
            <w:hyperlink r:id="rId8" w:history="1">
              <w:r w:rsidR="00A05BBA">
                <w:rPr>
                  <w:rStyle w:val="Hyperlink"/>
                  <w:rFonts w:ascii="Arial" w:hAnsi="Arial" w:cs="Arial"/>
                  <w:sz w:val="16"/>
                  <w:szCs w:val="22"/>
                </w:rPr>
                <w:t>https://staff.stfc.ac.uk/core/travel/Pages/DrivingPermits.aspx</w:t>
              </w:r>
            </w:hyperlink>
            <w:r w:rsidRPr="00C53DD0">
              <w:rPr>
                <w:rFonts w:ascii="Arial" w:hAnsi="Arial" w:cs="Arial"/>
                <w:sz w:val="16"/>
                <w:szCs w:val="22"/>
              </w:rPr>
              <w:t xml:space="preserve"> , the contents of which are reviewed periodically.</w:t>
            </w:r>
          </w:p>
          <w:p w14:paraId="3BCCA504"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 xml:space="preserve">Drivers must follow the guidance and legal requirements set out in the UK Highway code, </w:t>
            </w:r>
            <w:hyperlink r:id="rId9" w:history="1">
              <w:r w:rsidR="002D0435" w:rsidRPr="002D0435">
                <w:rPr>
                  <w:rStyle w:val="Hyperlink"/>
                  <w:rFonts w:ascii="Arial" w:hAnsi="Arial" w:cs="Arial"/>
                  <w:sz w:val="16"/>
                  <w:szCs w:val="22"/>
                </w:rPr>
                <w:t>www.gov.uk/guidance/the-highway-code</w:t>
              </w:r>
            </w:hyperlink>
            <w:r w:rsidRPr="00C53DD0">
              <w:rPr>
                <w:rFonts w:ascii="Arial" w:hAnsi="Arial" w:cs="Arial"/>
                <w:sz w:val="16"/>
                <w:szCs w:val="22"/>
              </w:rPr>
              <w:t xml:space="preserve"> and any other relevant traffic legislation, including that relevant to mobile phone use. </w:t>
            </w:r>
          </w:p>
          <w:p w14:paraId="34E364AB" w14:textId="77777777" w:rsidR="00DE4D17" w:rsidRPr="00C53DD0" w:rsidRDefault="00DE4D17" w:rsidP="00B20D4A">
            <w:pPr>
              <w:spacing w:before="120" w:after="120"/>
              <w:jc w:val="left"/>
              <w:rPr>
                <w:rFonts w:ascii="Arial" w:hAnsi="Arial" w:cs="Arial"/>
                <w:sz w:val="16"/>
                <w:szCs w:val="22"/>
              </w:rPr>
            </w:pPr>
            <w:r w:rsidRPr="00C53DD0">
              <w:rPr>
                <w:rFonts w:ascii="Arial" w:hAnsi="Arial"/>
                <w:sz w:val="16"/>
              </w:rPr>
              <w:t>High mileage drivers, &gt;3000 miles/year are required to attend Defensive driver training.</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299C246" w14:textId="77777777" w:rsidR="00DE4D17" w:rsidRPr="00C53DD0" w:rsidRDefault="00DE4D17" w:rsidP="00B20D4A">
            <w:pPr>
              <w:spacing w:before="120" w:after="120"/>
              <w:jc w:val="left"/>
              <w:rPr>
                <w:rFonts w:ascii="Arial" w:hAnsi="Arial"/>
                <w:sz w:val="16"/>
              </w:rPr>
            </w:pPr>
            <w:r w:rsidRPr="00C53DD0">
              <w:rPr>
                <w:rFonts w:ascii="Arial" w:hAnsi="Arial"/>
                <w:sz w:val="16"/>
              </w:rPr>
              <w:t xml:space="preserve">None </w:t>
            </w:r>
          </w:p>
          <w:p w14:paraId="2FBEBC37" w14:textId="77777777" w:rsidR="00DE4D17" w:rsidRPr="00C53DD0" w:rsidRDefault="00DE4D17" w:rsidP="00B20D4A">
            <w:pPr>
              <w:spacing w:before="120" w:after="120"/>
              <w:jc w:val="left"/>
              <w:rPr>
                <w:rFonts w:ascii="Arial" w:hAnsi="Arial"/>
                <w:sz w:val="16"/>
              </w:rPr>
            </w:pPr>
          </w:p>
          <w:p w14:paraId="43475A14" w14:textId="77777777" w:rsidR="00DE4D17" w:rsidRPr="00C53DD0" w:rsidRDefault="00DE4D17" w:rsidP="00B20D4A">
            <w:pPr>
              <w:spacing w:before="120" w:after="120"/>
              <w:jc w:val="left"/>
              <w:rPr>
                <w:rFonts w:ascii="Arial" w:hAnsi="Arial"/>
                <w:sz w:val="16"/>
              </w:rPr>
            </w:pPr>
          </w:p>
          <w:p w14:paraId="235791C6" w14:textId="77777777" w:rsidR="00DE4D17" w:rsidRPr="00C53DD0" w:rsidRDefault="00DE4D17" w:rsidP="00B20D4A">
            <w:pPr>
              <w:spacing w:before="120" w:after="120"/>
              <w:jc w:val="left"/>
              <w:rPr>
                <w:rFonts w:ascii="Arial" w:hAnsi="Arial"/>
                <w:sz w:val="16"/>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18030F8"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5DE38457"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58ED52" w14:textId="77777777" w:rsidR="00DE4D17" w:rsidRPr="00C53DD0" w:rsidRDefault="00DE4D17" w:rsidP="00B20D4A">
            <w:pPr>
              <w:spacing w:before="120" w:after="120"/>
              <w:jc w:val="left"/>
              <w:rPr>
                <w:rFonts w:ascii="Arial" w:hAnsi="Arial"/>
                <w:sz w:val="16"/>
              </w:rPr>
            </w:pPr>
          </w:p>
        </w:tc>
      </w:tr>
      <w:tr w:rsidR="00DE4D17" w:rsidRPr="00C53DD0" w14:paraId="3A591957"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093" w:type="dxa"/>
            <w:tcBorders>
              <w:top w:val="single" w:sz="4" w:space="0" w:color="auto"/>
              <w:left w:val="single" w:sz="4" w:space="0" w:color="auto"/>
              <w:bottom w:val="single" w:sz="4" w:space="0" w:color="auto"/>
              <w:right w:val="single" w:sz="4" w:space="0" w:color="auto"/>
            </w:tcBorders>
          </w:tcPr>
          <w:p w14:paraId="4F03A79B" w14:textId="77777777" w:rsidR="00DE4D17" w:rsidRPr="00C53DD0" w:rsidRDefault="00DE4D17" w:rsidP="00B20D4A">
            <w:pPr>
              <w:spacing w:before="120" w:after="120"/>
              <w:jc w:val="left"/>
              <w:rPr>
                <w:rFonts w:ascii="Arial" w:hAnsi="Arial"/>
                <w:sz w:val="16"/>
              </w:rPr>
            </w:pPr>
            <w:r w:rsidRPr="00C53DD0">
              <w:rPr>
                <w:rFonts w:ascii="Arial" w:hAnsi="Arial"/>
                <w:sz w:val="16"/>
              </w:rPr>
              <w:t>Poor understanding of intended route and its hazards.</w:t>
            </w:r>
          </w:p>
        </w:tc>
        <w:tc>
          <w:tcPr>
            <w:tcW w:w="1984" w:type="dxa"/>
            <w:tcBorders>
              <w:top w:val="single" w:sz="4" w:space="0" w:color="auto"/>
              <w:left w:val="single" w:sz="4" w:space="0" w:color="auto"/>
              <w:bottom w:val="single" w:sz="4" w:space="0" w:color="auto"/>
              <w:right w:val="single" w:sz="4" w:space="0" w:color="auto"/>
            </w:tcBorders>
          </w:tcPr>
          <w:p w14:paraId="5A41BBD9" w14:textId="77777777" w:rsidR="00DE4D17" w:rsidRPr="00C53DD0" w:rsidRDefault="00DE4D17" w:rsidP="00B20D4A">
            <w:pPr>
              <w:spacing w:before="120" w:after="120"/>
              <w:jc w:val="left"/>
              <w:rPr>
                <w:rFonts w:ascii="Arial" w:hAnsi="Arial"/>
                <w:sz w:val="16"/>
              </w:rPr>
            </w:pPr>
            <w:r w:rsidRPr="00C53DD0">
              <w:rPr>
                <w:rFonts w:ascii="Arial" w:hAnsi="Arial"/>
                <w:sz w:val="16"/>
              </w:rPr>
              <w:t xml:space="preserve">Inability to follow intended route may result in getting lost and the consequential safety issues in particular for </w:t>
            </w:r>
            <w:r w:rsidRPr="00C53DD0">
              <w:rPr>
                <w:rFonts w:ascii="Arial" w:hAnsi="Arial"/>
                <w:sz w:val="16"/>
              </w:rPr>
              <w:lastRenderedPageBreak/>
              <w:t>inexperienced or lone travellers.</w:t>
            </w:r>
          </w:p>
        </w:tc>
        <w:tc>
          <w:tcPr>
            <w:tcW w:w="4678" w:type="dxa"/>
            <w:gridSpan w:val="2"/>
            <w:tcBorders>
              <w:top w:val="single" w:sz="4" w:space="0" w:color="auto"/>
              <w:left w:val="single" w:sz="4" w:space="0" w:color="auto"/>
              <w:bottom w:val="single" w:sz="4" w:space="0" w:color="auto"/>
              <w:right w:val="single" w:sz="4" w:space="0" w:color="auto"/>
            </w:tcBorders>
          </w:tcPr>
          <w:p w14:paraId="26D06C2B"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lastRenderedPageBreak/>
              <w:t>When travelling by road, the time allowed for journeys must enable them to be completed without exceeding speed limits.</w:t>
            </w:r>
          </w:p>
          <w:p w14:paraId="24D27C86"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The following also should be taken into account:</w:t>
            </w:r>
          </w:p>
          <w:p w14:paraId="39FFDE6C" w14:textId="77777777" w:rsidR="00DE4D17" w:rsidRPr="00C53DD0" w:rsidRDefault="00DE4D17" w:rsidP="00DE4D17">
            <w:pPr>
              <w:numPr>
                <w:ilvl w:val="0"/>
                <w:numId w:val="2"/>
              </w:numPr>
              <w:tabs>
                <w:tab w:val="clear" w:pos="720"/>
                <w:tab w:val="num" w:pos="354"/>
              </w:tabs>
              <w:autoSpaceDE w:val="0"/>
              <w:autoSpaceDN w:val="0"/>
              <w:adjustRightInd w:val="0"/>
              <w:spacing w:before="120" w:after="120"/>
              <w:ind w:left="354"/>
              <w:jc w:val="left"/>
              <w:rPr>
                <w:rFonts w:ascii="Arial" w:hAnsi="Arial" w:cs="Arial"/>
                <w:sz w:val="16"/>
                <w:szCs w:val="22"/>
              </w:rPr>
            </w:pPr>
            <w:r w:rsidRPr="00C53DD0">
              <w:rPr>
                <w:rFonts w:ascii="Arial" w:hAnsi="Arial" w:cs="Arial"/>
                <w:sz w:val="16"/>
                <w:szCs w:val="22"/>
              </w:rPr>
              <w:t xml:space="preserve">Route - the intended journey should follow the safest available route, which may not necessarily be the shortest </w:t>
            </w:r>
            <w:r w:rsidRPr="00C53DD0">
              <w:rPr>
                <w:rFonts w:ascii="Arial" w:hAnsi="Arial" w:cs="Arial"/>
                <w:sz w:val="16"/>
                <w:szCs w:val="22"/>
              </w:rPr>
              <w:lastRenderedPageBreak/>
              <w:t>or quickest, for example using Motorways rather than A/side roads. Try to plan travel routes in advance of the journey.</w:t>
            </w:r>
          </w:p>
          <w:p w14:paraId="2804A27D" w14:textId="77777777" w:rsidR="00DE4D17" w:rsidRPr="00C53DD0" w:rsidRDefault="00DE4D17" w:rsidP="00DE4D17">
            <w:pPr>
              <w:numPr>
                <w:ilvl w:val="0"/>
                <w:numId w:val="2"/>
              </w:numPr>
              <w:tabs>
                <w:tab w:val="clear" w:pos="720"/>
                <w:tab w:val="num" w:pos="354"/>
              </w:tabs>
              <w:autoSpaceDE w:val="0"/>
              <w:autoSpaceDN w:val="0"/>
              <w:adjustRightInd w:val="0"/>
              <w:spacing w:before="120" w:after="120"/>
              <w:ind w:left="354"/>
              <w:jc w:val="left"/>
              <w:rPr>
                <w:rFonts w:ascii="Arial" w:hAnsi="Arial" w:cs="Arial"/>
                <w:sz w:val="16"/>
                <w:szCs w:val="16"/>
              </w:rPr>
            </w:pPr>
            <w:r w:rsidRPr="00C53DD0">
              <w:rPr>
                <w:rFonts w:ascii="Arial" w:hAnsi="Arial" w:cs="Arial"/>
                <w:sz w:val="16"/>
                <w:szCs w:val="22"/>
              </w:rPr>
              <w:t>Driving time is part of the working day. Very long days must be avoided, particularly in winter. Overnight stops may be necessary to avoid very long days. As a guide,</w:t>
            </w:r>
            <w:r w:rsidRPr="00C53DD0">
              <w:rPr>
                <w:rFonts w:ascii="Arial" w:hAnsi="Arial" w:cs="Arial"/>
                <w:bCs/>
                <w:sz w:val="16"/>
                <w:szCs w:val="16"/>
                <w:lang w:val="en-US"/>
              </w:rPr>
              <w:t xml:space="preserve"> where business travel takes place at the end of a working day the total working day includ</w:t>
            </w:r>
            <w:r>
              <w:rPr>
                <w:rFonts w:ascii="Arial" w:hAnsi="Arial" w:cs="Arial"/>
                <w:bCs/>
                <w:sz w:val="16"/>
                <w:szCs w:val="16"/>
                <w:lang w:val="en-US"/>
              </w:rPr>
              <w:t>ing business travel (and breaks</w:t>
            </w:r>
            <w:r w:rsidRPr="00C53DD0">
              <w:rPr>
                <w:rFonts w:ascii="Arial" w:hAnsi="Arial" w:cs="Arial"/>
                <w:bCs/>
                <w:sz w:val="16"/>
                <w:szCs w:val="16"/>
                <w:lang w:val="en-US"/>
              </w:rPr>
              <w:t>) should not exceed 12 hours.</w:t>
            </w:r>
          </w:p>
          <w:p w14:paraId="54DA534D" w14:textId="77777777" w:rsidR="00DE4D17" w:rsidRPr="00C53DD0" w:rsidRDefault="00DE4D17" w:rsidP="00DE4D17">
            <w:pPr>
              <w:numPr>
                <w:ilvl w:val="0"/>
                <w:numId w:val="2"/>
              </w:numPr>
              <w:tabs>
                <w:tab w:val="clear" w:pos="720"/>
                <w:tab w:val="num" w:pos="354"/>
              </w:tabs>
              <w:autoSpaceDE w:val="0"/>
              <w:autoSpaceDN w:val="0"/>
              <w:adjustRightInd w:val="0"/>
              <w:spacing w:before="120" w:after="120"/>
              <w:ind w:left="354"/>
              <w:jc w:val="left"/>
              <w:rPr>
                <w:rFonts w:ascii="Arial" w:hAnsi="Arial" w:cs="Arial"/>
                <w:sz w:val="16"/>
                <w:szCs w:val="22"/>
              </w:rPr>
            </w:pPr>
            <w:r w:rsidRPr="00C53DD0">
              <w:rPr>
                <w:rFonts w:ascii="Arial" w:hAnsi="Arial" w:cs="Arial"/>
                <w:sz w:val="16"/>
                <w:szCs w:val="22"/>
              </w:rPr>
              <w:t>Journey breaks should be taken before the driver begins to feel fatigued - as a minimum, a 15-minute break every 2.5 hours is recommended. Where more than one person is travelling, consideration should be given to sharing the driving.</w:t>
            </w:r>
          </w:p>
          <w:p w14:paraId="56BA8C29" w14:textId="77777777" w:rsidR="00DE4D17" w:rsidRPr="00C53DD0" w:rsidRDefault="00DE4D17" w:rsidP="00DE4D17">
            <w:pPr>
              <w:numPr>
                <w:ilvl w:val="0"/>
                <w:numId w:val="2"/>
              </w:numPr>
              <w:tabs>
                <w:tab w:val="clear" w:pos="720"/>
                <w:tab w:val="num" w:pos="354"/>
              </w:tabs>
              <w:autoSpaceDE w:val="0"/>
              <w:autoSpaceDN w:val="0"/>
              <w:adjustRightInd w:val="0"/>
              <w:spacing w:before="120" w:after="120"/>
              <w:ind w:left="354"/>
              <w:jc w:val="left"/>
              <w:rPr>
                <w:rFonts w:ascii="Arial" w:hAnsi="Arial" w:cs="Arial"/>
                <w:sz w:val="16"/>
                <w:szCs w:val="22"/>
              </w:rPr>
            </w:pPr>
            <w:r w:rsidRPr="00C53DD0">
              <w:rPr>
                <w:rFonts w:ascii="Arial" w:hAnsi="Arial" w:cs="Arial"/>
                <w:sz w:val="16"/>
                <w:szCs w:val="22"/>
              </w:rPr>
              <w:t>Where lone driving is required consideration should be given to the provision of mobile phones</w:t>
            </w:r>
            <w:r>
              <w:rPr>
                <w:rFonts w:ascii="Arial" w:hAnsi="Arial" w:cs="Arial"/>
                <w:sz w:val="16"/>
                <w:szCs w:val="22"/>
              </w:rPr>
              <w:t xml:space="preserve"> (and their coverage</w:t>
            </w:r>
            <w:r w:rsidRPr="00C53DD0">
              <w:rPr>
                <w:rFonts w:ascii="Arial" w:hAnsi="Arial" w:cs="Arial"/>
                <w:sz w:val="16"/>
                <w:szCs w:val="22"/>
              </w:rPr>
              <w:t>) for use in emergency especially for inexperienced or vulnerable drivers.</w:t>
            </w:r>
          </w:p>
          <w:p w14:paraId="4D9FDCE8" w14:textId="77777777" w:rsidR="00DE4D17" w:rsidRPr="00C53DD0" w:rsidRDefault="00DE4D17" w:rsidP="00DE4D17">
            <w:pPr>
              <w:numPr>
                <w:ilvl w:val="0"/>
                <w:numId w:val="2"/>
              </w:numPr>
              <w:tabs>
                <w:tab w:val="clear" w:pos="720"/>
                <w:tab w:val="num" w:pos="354"/>
              </w:tabs>
              <w:autoSpaceDE w:val="0"/>
              <w:autoSpaceDN w:val="0"/>
              <w:adjustRightInd w:val="0"/>
              <w:spacing w:before="120" w:after="120"/>
              <w:ind w:left="354"/>
              <w:jc w:val="left"/>
              <w:rPr>
                <w:rFonts w:ascii="Arial" w:hAnsi="Arial" w:cs="Arial"/>
                <w:sz w:val="16"/>
                <w:szCs w:val="22"/>
              </w:rPr>
            </w:pPr>
            <w:r w:rsidRPr="00C53DD0">
              <w:rPr>
                <w:rFonts w:ascii="Arial" w:hAnsi="Arial" w:cs="Arial"/>
                <w:sz w:val="16"/>
                <w:szCs w:val="22"/>
              </w:rPr>
              <w:t xml:space="preserve">Mobile phones, or other mobile communication devices, hands free or otherwise should be turned off prior to commencing journeys. Their use whilst driving on Council business is prohibited for STFC staff. Staff should use scheduled breaks as a means to pick up and respond to messages.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08EA8C39" w14:textId="77777777" w:rsidR="00DE4D17" w:rsidRPr="00C53DD0" w:rsidRDefault="00DE4D17" w:rsidP="00B20D4A">
            <w:pPr>
              <w:spacing w:before="120" w:after="120"/>
              <w:jc w:val="left"/>
              <w:rPr>
                <w:rFonts w:ascii="Arial" w:hAnsi="Arial"/>
                <w:sz w:val="16"/>
              </w:rPr>
            </w:pPr>
            <w:r w:rsidRPr="00C53DD0">
              <w:rPr>
                <w:rFonts w:ascii="Arial" w:hAnsi="Arial"/>
                <w:sz w:val="16"/>
              </w:rPr>
              <w:lastRenderedPageBreak/>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9121550"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5C87727"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8FEBE2" w14:textId="77777777" w:rsidR="00DE4D17" w:rsidRPr="00C53DD0" w:rsidRDefault="00DE4D17" w:rsidP="00B20D4A">
            <w:pPr>
              <w:spacing w:before="120" w:after="120"/>
              <w:jc w:val="left"/>
              <w:rPr>
                <w:rFonts w:ascii="Arial" w:hAnsi="Arial"/>
                <w:sz w:val="16"/>
              </w:rPr>
            </w:pPr>
          </w:p>
        </w:tc>
      </w:tr>
      <w:tr w:rsidR="00DE4D17" w:rsidRPr="00C53DD0" w14:paraId="7FD34385"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093" w:type="dxa"/>
            <w:tcBorders>
              <w:top w:val="single" w:sz="4" w:space="0" w:color="auto"/>
              <w:left w:val="single" w:sz="4" w:space="0" w:color="auto"/>
              <w:bottom w:val="single" w:sz="4" w:space="0" w:color="auto"/>
              <w:right w:val="single" w:sz="4" w:space="0" w:color="auto"/>
            </w:tcBorders>
          </w:tcPr>
          <w:p w14:paraId="072DE917" w14:textId="77777777" w:rsidR="00DE4D17" w:rsidRPr="00C53DD0" w:rsidRDefault="00DE4D17" w:rsidP="00B20D4A">
            <w:pPr>
              <w:spacing w:before="120" w:after="120"/>
              <w:jc w:val="left"/>
              <w:rPr>
                <w:rFonts w:ascii="Arial" w:hAnsi="Arial"/>
                <w:sz w:val="16"/>
              </w:rPr>
            </w:pPr>
            <w:r w:rsidRPr="00C53DD0">
              <w:rPr>
                <w:rFonts w:ascii="Arial" w:hAnsi="Arial"/>
                <w:sz w:val="16"/>
              </w:rPr>
              <w:t>Poor driving weather conditions.</w:t>
            </w:r>
          </w:p>
        </w:tc>
        <w:tc>
          <w:tcPr>
            <w:tcW w:w="1984" w:type="dxa"/>
            <w:tcBorders>
              <w:top w:val="single" w:sz="4" w:space="0" w:color="auto"/>
              <w:left w:val="single" w:sz="4" w:space="0" w:color="auto"/>
              <w:bottom w:val="single" w:sz="4" w:space="0" w:color="auto"/>
              <w:right w:val="single" w:sz="4" w:space="0" w:color="auto"/>
            </w:tcBorders>
          </w:tcPr>
          <w:p w14:paraId="0753B99A"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may be harmed by inability of driver to control vehicle effectively on the road.</w:t>
            </w:r>
          </w:p>
        </w:tc>
        <w:tc>
          <w:tcPr>
            <w:tcW w:w="4678" w:type="dxa"/>
            <w:gridSpan w:val="2"/>
            <w:tcBorders>
              <w:top w:val="single" w:sz="4" w:space="0" w:color="auto"/>
              <w:left w:val="single" w:sz="4" w:space="0" w:color="auto"/>
              <w:bottom w:val="single" w:sz="4" w:space="0" w:color="auto"/>
              <w:right w:val="single" w:sz="4" w:space="0" w:color="auto"/>
            </w:tcBorders>
          </w:tcPr>
          <w:p w14:paraId="3203FCCC" w14:textId="77777777" w:rsidR="00DE4D17" w:rsidRPr="00C53DD0" w:rsidRDefault="00DE4D17" w:rsidP="00B20D4A">
            <w:pPr>
              <w:spacing w:before="120" w:after="120"/>
              <w:jc w:val="left"/>
              <w:rPr>
                <w:rFonts w:ascii="Arial" w:hAnsi="Arial"/>
                <w:sz w:val="16"/>
              </w:rPr>
            </w:pPr>
            <w:r w:rsidRPr="00C53DD0">
              <w:rPr>
                <w:rFonts w:ascii="Arial" w:hAnsi="Arial" w:cs="Arial"/>
                <w:sz w:val="16"/>
                <w:szCs w:val="22"/>
              </w:rPr>
              <w:t>Consideration should be given to expected weather conditions. For example, if, on the day of travel there is thick fog, icy conditions or heavy snow, the journey should be postponed or cancelled.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5E05EC42"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4458B20"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AF71ABA"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C90BB8" w14:textId="77777777" w:rsidR="00DE4D17" w:rsidRPr="00C53DD0" w:rsidRDefault="00DE4D17" w:rsidP="00B20D4A">
            <w:pPr>
              <w:spacing w:before="120" w:after="120"/>
              <w:jc w:val="left"/>
              <w:rPr>
                <w:rFonts w:ascii="Arial" w:hAnsi="Arial"/>
                <w:sz w:val="16"/>
              </w:rPr>
            </w:pPr>
          </w:p>
        </w:tc>
      </w:tr>
      <w:tr w:rsidR="00DE4D17" w:rsidRPr="00C53DD0" w14:paraId="1FB102EB"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093" w:type="dxa"/>
            <w:tcBorders>
              <w:top w:val="single" w:sz="4" w:space="0" w:color="auto"/>
              <w:left w:val="single" w:sz="4" w:space="0" w:color="auto"/>
              <w:bottom w:val="single" w:sz="4" w:space="0" w:color="auto"/>
              <w:right w:val="single" w:sz="4" w:space="0" w:color="auto"/>
            </w:tcBorders>
          </w:tcPr>
          <w:p w14:paraId="66D22F90" w14:textId="77777777" w:rsidR="00DE4D17" w:rsidRPr="00C53DD0" w:rsidRDefault="00DE4D17" w:rsidP="00B20D4A">
            <w:pPr>
              <w:spacing w:before="120" w:after="120"/>
              <w:jc w:val="left"/>
              <w:rPr>
                <w:rFonts w:ascii="Arial" w:hAnsi="Arial"/>
                <w:sz w:val="16"/>
              </w:rPr>
            </w:pPr>
            <w:r w:rsidRPr="00C53DD0">
              <w:rPr>
                <w:rFonts w:ascii="Arial" w:hAnsi="Arial"/>
                <w:sz w:val="16"/>
              </w:rPr>
              <w:t>Poor condition of vehicle</w:t>
            </w:r>
          </w:p>
        </w:tc>
        <w:tc>
          <w:tcPr>
            <w:tcW w:w="1984" w:type="dxa"/>
            <w:tcBorders>
              <w:top w:val="single" w:sz="4" w:space="0" w:color="auto"/>
              <w:left w:val="single" w:sz="4" w:space="0" w:color="auto"/>
              <w:bottom w:val="single" w:sz="4" w:space="0" w:color="auto"/>
              <w:right w:val="single" w:sz="4" w:space="0" w:color="auto"/>
            </w:tcBorders>
          </w:tcPr>
          <w:p w14:paraId="28779708"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may be harmed by inability of driver to control vehicle effectively on the road.</w:t>
            </w:r>
          </w:p>
        </w:tc>
        <w:tc>
          <w:tcPr>
            <w:tcW w:w="4678" w:type="dxa"/>
            <w:gridSpan w:val="2"/>
            <w:tcBorders>
              <w:top w:val="single" w:sz="4" w:space="0" w:color="auto"/>
              <w:left w:val="single" w:sz="4" w:space="0" w:color="auto"/>
              <w:bottom w:val="single" w:sz="4" w:space="0" w:color="auto"/>
              <w:right w:val="single" w:sz="4" w:space="0" w:color="auto"/>
            </w:tcBorders>
          </w:tcPr>
          <w:p w14:paraId="0EE9E114"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 xml:space="preserve">The STFC contracts for hire and lease cars specify that the vehicle must be provided in a road-worthy condition. </w:t>
            </w:r>
          </w:p>
          <w:p w14:paraId="3D6C8792"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Drivers of hire or lease cars should assess, to the best of their ability, using vehicle checklists if provided, the road-worthiness of vehicles prior to undertaking a journey, for example state of tyres ( pressure and tread ) and seat belts, and available fuel, screen wash etc. Where a vehicle is not road worthy alternative transport must be found and the matter reported to the relevant purchasing contact.</w:t>
            </w:r>
          </w:p>
          <w:p w14:paraId="0799B493" w14:textId="77777777" w:rsidR="00DE4D17" w:rsidRPr="00C53DD0" w:rsidRDefault="00DE4D17" w:rsidP="00B20D4A">
            <w:pPr>
              <w:spacing w:before="120" w:after="120"/>
              <w:jc w:val="left"/>
              <w:rPr>
                <w:rFonts w:ascii="Arial" w:hAnsi="Arial"/>
                <w:sz w:val="16"/>
              </w:rPr>
            </w:pPr>
            <w:r w:rsidRPr="00C53DD0">
              <w:rPr>
                <w:rFonts w:ascii="Arial" w:hAnsi="Arial" w:cs="Arial"/>
                <w:sz w:val="16"/>
                <w:szCs w:val="22"/>
              </w:rPr>
              <w:t>Where an employee drives their own vehicle on Council business, the employee has a responsibility to ensure that it is suitable for the intended task, has a road tax licence, valid MOT and is insured for use on Council business.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2EB11849"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AFD7ACA"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495C8228"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A0C26" w14:textId="77777777" w:rsidR="00DE4D17" w:rsidRPr="00C53DD0" w:rsidRDefault="00DE4D17" w:rsidP="00B20D4A">
            <w:pPr>
              <w:spacing w:before="120" w:after="120"/>
              <w:jc w:val="left"/>
              <w:rPr>
                <w:rFonts w:ascii="Arial" w:hAnsi="Arial"/>
                <w:sz w:val="16"/>
              </w:rPr>
            </w:pPr>
          </w:p>
        </w:tc>
      </w:tr>
      <w:tr w:rsidR="00DE4D17" w:rsidRPr="00C53DD0" w14:paraId="1248D645"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093" w:type="dxa"/>
            <w:tcBorders>
              <w:top w:val="single" w:sz="4" w:space="0" w:color="auto"/>
              <w:left w:val="single" w:sz="4" w:space="0" w:color="auto"/>
              <w:bottom w:val="single" w:sz="4" w:space="0" w:color="auto"/>
              <w:right w:val="single" w:sz="4" w:space="0" w:color="auto"/>
            </w:tcBorders>
          </w:tcPr>
          <w:p w14:paraId="64C9C79D" w14:textId="77777777" w:rsidR="00DE4D17" w:rsidRPr="00C53DD0" w:rsidRDefault="00DE4D17" w:rsidP="00B20D4A">
            <w:pPr>
              <w:spacing w:before="120" w:after="120"/>
              <w:jc w:val="left"/>
              <w:rPr>
                <w:rFonts w:ascii="Arial" w:hAnsi="Arial"/>
                <w:sz w:val="16"/>
              </w:rPr>
            </w:pPr>
            <w:r w:rsidRPr="00C53DD0">
              <w:rPr>
                <w:rFonts w:ascii="Arial" w:hAnsi="Arial"/>
                <w:sz w:val="16"/>
              </w:rPr>
              <w:t>Driver competence to drive hire car.</w:t>
            </w:r>
          </w:p>
        </w:tc>
        <w:tc>
          <w:tcPr>
            <w:tcW w:w="1984" w:type="dxa"/>
            <w:tcBorders>
              <w:top w:val="single" w:sz="4" w:space="0" w:color="auto"/>
              <w:left w:val="single" w:sz="4" w:space="0" w:color="auto"/>
              <w:bottom w:val="single" w:sz="4" w:space="0" w:color="auto"/>
              <w:right w:val="single" w:sz="4" w:space="0" w:color="auto"/>
            </w:tcBorders>
          </w:tcPr>
          <w:p w14:paraId="2BFBAE80"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may be harmed by inability of driver to control vehicle effectively on the road.</w:t>
            </w:r>
          </w:p>
        </w:tc>
        <w:tc>
          <w:tcPr>
            <w:tcW w:w="4678" w:type="dxa"/>
            <w:gridSpan w:val="2"/>
            <w:tcBorders>
              <w:top w:val="single" w:sz="4" w:space="0" w:color="auto"/>
              <w:left w:val="single" w:sz="4" w:space="0" w:color="auto"/>
              <w:bottom w:val="single" w:sz="4" w:space="0" w:color="auto"/>
              <w:right w:val="single" w:sz="4" w:space="0" w:color="auto"/>
            </w:tcBorders>
          </w:tcPr>
          <w:p w14:paraId="71621D85"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Drivers of hire or lease cars should familiarise themselves with the controls of hire or lease cars prior to commencing their journey: including signal and emergency indicators/horn, locks and type of fuel. Familiarisation should include the setting of seat and mirror position to allow safe driving.</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5C1359EC"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D6D8E12"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1EF0327D"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DB940" w14:textId="77777777" w:rsidR="00DE4D17" w:rsidRPr="00C53DD0" w:rsidRDefault="00DE4D17" w:rsidP="00B20D4A">
            <w:pPr>
              <w:spacing w:before="120" w:after="120"/>
              <w:jc w:val="left"/>
              <w:rPr>
                <w:rFonts w:ascii="Arial" w:hAnsi="Arial"/>
                <w:sz w:val="16"/>
              </w:rPr>
            </w:pPr>
          </w:p>
        </w:tc>
      </w:tr>
      <w:tr w:rsidR="00DE4D17" w:rsidRPr="00C53DD0" w14:paraId="568AC778"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2093" w:type="dxa"/>
            <w:tcBorders>
              <w:top w:val="single" w:sz="4" w:space="0" w:color="auto"/>
              <w:left w:val="single" w:sz="4" w:space="0" w:color="auto"/>
              <w:bottom w:val="single" w:sz="4" w:space="0" w:color="auto"/>
              <w:right w:val="single" w:sz="4" w:space="0" w:color="auto"/>
            </w:tcBorders>
          </w:tcPr>
          <w:p w14:paraId="0F50DF06" w14:textId="77777777" w:rsidR="00DE4D17" w:rsidRPr="00C53DD0" w:rsidRDefault="00DE4D17" w:rsidP="00B20D4A">
            <w:pPr>
              <w:spacing w:before="120" w:after="120"/>
              <w:jc w:val="left"/>
              <w:rPr>
                <w:rFonts w:ascii="Arial" w:hAnsi="Arial"/>
                <w:sz w:val="16"/>
              </w:rPr>
            </w:pPr>
            <w:r w:rsidRPr="00C53DD0">
              <w:rPr>
                <w:rFonts w:ascii="Arial" w:hAnsi="Arial"/>
                <w:sz w:val="16"/>
              </w:rPr>
              <w:lastRenderedPageBreak/>
              <w:t>Driver understanding of the driving standards and road traffic legislation for the country they are visiting.</w:t>
            </w:r>
          </w:p>
        </w:tc>
        <w:tc>
          <w:tcPr>
            <w:tcW w:w="1984" w:type="dxa"/>
            <w:tcBorders>
              <w:top w:val="single" w:sz="4" w:space="0" w:color="auto"/>
              <w:left w:val="single" w:sz="4" w:space="0" w:color="auto"/>
              <w:bottom w:val="single" w:sz="4" w:space="0" w:color="auto"/>
              <w:right w:val="single" w:sz="4" w:space="0" w:color="auto"/>
            </w:tcBorders>
          </w:tcPr>
          <w:p w14:paraId="2C88A75F"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may be harmed by inability of driver to understand local ’highway code’.</w:t>
            </w:r>
          </w:p>
        </w:tc>
        <w:tc>
          <w:tcPr>
            <w:tcW w:w="4678" w:type="dxa"/>
            <w:gridSpan w:val="2"/>
            <w:tcBorders>
              <w:top w:val="single" w:sz="4" w:space="0" w:color="auto"/>
              <w:left w:val="single" w:sz="4" w:space="0" w:color="auto"/>
              <w:bottom w:val="single" w:sz="4" w:space="0" w:color="auto"/>
              <w:right w:val="single" w:sz="4" w:space="0" w:color="auto"/>
            </w:tcBorders>
          </w:tcPr>
          <w:p w14:paraId="1189B836"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 xml:space="preserve">The risks involved in driving abroad must be assessed before the journey is undertaken. The degree of risk will depend on the country involved. </w:t>
            </w:r>
          </w:p>
          <w:p w14:paraId="6B6CBB25"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Outside Western Europe and North America, it may be appropriate to consider the use of a local driver or taxi recommended by your host institution in preference to the employee driving.</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455457E1"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4FBC19B2"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7E329C06"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9894A0" w14:textId="77777777" w:rsidR="00DE4D17" w:rsidRPr="00C53DD0" w:rsidRDefault="00DE4D17" w:rsidP="00B20D4A">
            <w:pPr>
              <w:spacing w:before="120" w:after="120"/>
              <w:jc w:val="left"/>
              <w:rPr>
                <w:rFonts w:ascii="Arial" w:hAnsi="Arial"/>
                <w:sz w:val="16"/>
              </w:rPr>
            </w:pPr>
          </w:p>
        </w:tc>
      </w:tr>
      <w:tr w:rsidR="00DE4D17" w:rsidRPr="00C53DD0" w14:paraId="20977B7E"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093" w:type="dxa"/>
            <w:tcBorders>
              <w:top w:val="single" w:sz="4" w:space="0" w:color="auto"/>
              <w:left w:val="single" w:sz="4" w:space="0" w:color="auto"/>
              <w:bottom w:val="single" w:sz="4" w:space="0" w:color="auto"/>
              <w:right w:val="single" w:sz="4" w:space="0" w:color="auto"/>
            </w:tcBorders>
          </w:tcPr>
          <w:p w14:paraId="25131E7D" w14:textId="77777777" w:rsidR="00DE4D17" w:rsidRPr="00C53DD0" w:rsidRDefault="00DE4D17" w:rsidP="00B20D4A">
            <w:pPr>
              <w:spacing w:before="120" w:after="120"/>
              <w:jc w:val="left"/>
              <w:rPr>
                <w:rFonts w:ascii="Arial" w:hAnsi="Arial"/>
                <w:sz w:val="16"/>
              </w:rPr>
            </w:pPr>
            <w:r w:rsidRPr="00C53DD0">
              <w:rPr>
                <w:rFonts w:ascii="Arial" w:hAnsi="Arial"/>
                <w:sz w:val="16"/>
              </w:rPr>
              <w:t>Poor health or condition of the driver.</w:t>
            </w:r>
          </w:p>
        </w:tc>
        <w:tc>
          <w:tcPr>
            <w:tcW w:w="1984" w:type="dxa"/>
            <w:tcBorders>
              <w:top w:val="single" w:sz="4" w:space="0" w:color="auto"/>
              <w:left w:val="single" w:sz="4" w:space="0" w:color="auto"/>
              <w:bottom w:val="single" w:sz="4" w:space="0" w:color="auto"/>
              <w:right w:val="single" w:sz="4" w:space="0" w:color="auto"/>
            </w:tcBorders>
          </w:tcPr>
          <w:p w14:paraId="6985575B"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may be harmed by inability of driver to control vehicle effectively on the road.</w:t>
            </w:r>
          </w:p>
        </w:tc>
        <w:tc>
          <w:tcPr>
            <w:tcW w:w="4678" w:type="dxa"/>
            <w:gridSpan w:val="2"/>
            <w:tcBorders>
              <w:top w:val="single" w:sz="4" w:space="0" w:color="auto"/>
              <w:left w:val="single" w:sz="4" w:space="0" w:color="auto"/>
              <w:bottom w:val="single" w:sz="4" w:space="0" w:color="auto"/>
              <w:right w:val="single" w:sz="4" w:space="0" w:color="auto"/>
            </w:tcBorders>
          </w:tcPr>
          <w:p w14:paraId="3B7535DF"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Employees should seek the advice of the Occupational Health Department if they are aware of any medical condition, for example deteriorating eyesight, or take medication that may affect their ability to drive safely, or the length of time they can drive.</w:t>
            </w:r>
          </w:p>
          <w:p w14:paraId="1AA07080"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Driving when tired represents a significant hazard and should be avoided for example after long haul flights, long train journeys etc</w:t>
            </w:r>
            <w:r w:rsidRPr="00C53DD0">
              <w:rPr>
                <w:rFonts w:ascii="Arial" w:hAnsi="Arial" w:cs="Arial"/>
                <w:sz w:val="16"/>
                <w:szCs w:val="16"/>
                <w:lang w:val="en-US"/>
              </w:rPr>
              <w:t xml:space="preserve">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180892BA"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1BF1B434"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29ADF12"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6C8783" w14:textId="77777777" w:rsidR="00DE4D17" w:rsidRPr="00C53DD0" w:rsidRDefault="00DE4D17" w:rsidP="00B20D4A">
            <w:pPr>
              <w:spacing w:before="120" w:after="120"/>
              <w:jc w:val="left"/>
              <w:rPr>
                <w:rFonts w:ascii="Arial" w:hAnsi="Arial"/>
                <w:sz w:val="16"/>
              </w:rPr>
            </w:pPr>
          </w:p>
        </w:tc>
      </w:tr>
      <w:tr w:rsidR="00DE4D17" w:rsidRPr="00C53DD0" w14:paraId="034747CC" w14:textId="77777777" w:rsidTr="00592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093" w:type="dxa"/>
            <w:tcBorders>
              <w:top w:val="single" w:sz="4" w:space="0" w:color="auto"/>
              <w:left w:val="single" w:sz="4" w:space="0" w:color="auto"/>
              <w:bottom w:val="single" w:sz="4" w:space="0" w:color="auto"/>
              <w:right w:val="single" w:sz="4" w:space="0" w:color="auto"/>
            </w:tcBorders>
          </w:tcPr>
          <w:p w14:paraId="6E694E83" w14:textId="77777777" w:rsidR="00DE4D17" w:rsidRPr="00C53DD0" w:rsidRDefault="00DE4D17" w:rsidP="00B20D4A">
            <w:pPr>
              <w:spacing w:before="120" w:after="120"/>
              <w:jc w:val="left"/>
              <w:rPr>
                <w:rFonts w:ascii="Arial" w:hAnsi="Arial"/>
                <w:sz w:val="16"/>
              </w:rPr>
            </w:pPr>
            <w:r w:rsidRPr="00C53DD0">
              <w:rPr>
                <w:rFonts w:ascii="Arial" w:hAnsi="Arial"/>
                <w:sz w:val="16"/>
              </w:rPr>
              <w:t>Inadequate response in the event of an emergency.</w:t>
            </w:r>
          </w:p>
        </w:tc>
        <w:tc>
          <w:tcPr>
            <w:tcW w:w="1984" w:type="dxa"/>
            <w:tcBorders>
              <w:top w:val="single" w:sz="4" w:space="0" w:color="auto"/>
              <w:left w:val="single" w:sz="4" w:space="0" w:color="auto"/>
              <w:bottom w:val="single" w:sz="4" w:space="0" w:color="auto"/>
              <w:right w:val="single" w:sz="4" w:space="0" w:color="auto"/>
            </w:tcBorders>
          </w:tcPr>
          <w:p w14:paraId="58F5EB34" w14:textId="77777777" w:rsidR="00DE4D17" w:rsidRPr="00C53DD0" w:rsidRDefault="00DE4D17" w:rsidP="00B20D4A">
            <w:pPr>
              <w:spacing w:before="120" w:after="120"/>
              <w:jc w:val="left"/>
              <w:rPr>
                <w:rFonts w:ascii="Arial" w:hAnsi="Arial"/>
                <w:sz w:val="16"/>
              </w:rPr>
            </w:pPr>
            <w:r w:rsidRPr="00C53DD0">
              <w:rPr>
                <w:rFonts w:ascii="Arial" w:hAnsi="Arial"/>
                <w:sz w:val="16"/>
              </w:rPr>
              <w:t>Driver, and others, safety may be compromised by the lack of adequate response in the event of an emergency or road traffic accident.</w:t>
            </w:r>
          </w:p>
        </w:tc>
        <w:tc>
          <w:tcPr>
            <w:tcW w:w="4678" w:type="dxa"/>
            <w:gridSpan w:val="2"/>
            <w:tcBorders>
              <w:top w:val="single" w:sz="4" w:space="0" w:color="auto"/>
              <w:left w:val="single" w:sz="4" w:space="0" w:color="auto"/>
              <w:bottom w:val="single" w:sz="4" w:space="0" w:color="auto"/>
              <w:right w:val="single" w:sz="4" w:space="0" w:color="auto"/>
            </w:tcBorders>
          </w:tcPr>
          <w:p w14:paraId="6D4D0E38" w14:textId="77777777" w:rsidR="00DE4D17" w:rsidRPr="00C53DD0" w:rsidRDefault="00DE4D17" w:rsidP="00B20D4A">
            <w:pPr>
              <w:spacing w:before="120" w:after="120"/>
              <w:jc w:val="left"/>
              <w:rPr>
                <w:rFonts w:ascii="Arial" w:hAnsi="Arial" w:cs="Arial"/>
                <w:sz w:val="16"/>
                <w:szCs w:val="22"/>
              </w:rPr>
            </w:pPr>
            <w:r w:rsidRPr="00C53DD0">
              <w:rPr>
                <w:rFonts w:ascii="Arial" w:hAnsi="Arial" w:cs="Arial"/>
                <w:sz w:val="16"/>
                <w:szCs w:val="22"/>
              </w:rPr>
              <w:t>Sites, Business Groups or Departments should consider the appropriateness of providing employees with emergency equipment, either on a personal or pool basis. Such equipment may include: mobile telephone for emergency use; first aid kit; warning triangle; high visibility jacket or fire extinguisher.</w:t>
            </w:r>
          </w:p>
          <w:p w14:paraId="40275C80" w14:textId="77777777" w:rsidR="00DE4D17" w:rsidRPr="00C53DD0" w:rsidRDefault="00DE4D17" w:rsidP="00B20D4A">
            <w:pPr>
              <w:tabs>
                <w:tab w:val="left" w:pos="34"/>
              </w:tabs>
              <w:autoSpaceDE w:val="0"/>
              <w:autoSpaceDN w:val="0"/>
              <w:adjustRightInd w:val="0"/>
              <w:spacing w:before="120" w:after="120"/>
              <w:ind w:left="34"/>
              <w:jc w:val="left"/>
              <w:rPr>
                <w:rFonts w:ascii="Arial" w:hAnsi="Arial" w:cs="Arial"/>
                <w:bCs/>
                <w:sz w:val="16"/>
                <w:szCs w:val="16"/>
                <w:lang w:val="en-US"/>
              </w:rPr>
            </w:pPr>
            <w:r w:rsidRPr="00C53DD0">
              <w:rPr>
                <w:rFonts w:ascii="Arial" w:hAnsi="Arial" w:cs="Arial"/>
                <w:b/>
                <w:bCs/>
                <w:sz w:val="16"/>
                <w:szCs w:val="16"/>
                <w:lang w:val="en-US"/>
              </w:rPr>
              <w:t>In the event of involvement in an emergency or road traffic accident d</w:t>
            </w:r>
            <w:r w:rsidRPr="00C53DD0">
              <w:rPr>
                <w:rFonts w:ascii="Arial" w:hAnsi="Arial" w:cs="Arial"/>
                <w:bCs/>
                <w:sz w:val="16"/>
                <w:szCs w:val="16"/>
                <w:lang w:val="en-US"/>
              </w:rPr>
              <w:t>rivers of STFC vehicles involved must stop to determine the extent of any injuries to individuals or damage to vehicles and as appropriate call the emergency services for assistance.</w:t>
            </w:r>
          </w:p>
          <w:p w14:paraId="4114728A" w14:textId="77777777" w:rsidR="00DE4D17" w:rsidRPr="00C53DD0" w:rsidRDefault="00DE4D17" w:rsidP="00B20D4A">
            <w:pPr>
              <w:spacing w:before="120" w:after="120"/>
              <w:jc w:val="left"/>
              <w:rPr>
                <w:rFonts w:ascii="Arial" w:hAnsi="Arial"/>
                <w:sz w:val="16"/>
              </w:rPr>
            </w:pPr>
            <w:r w:rsidRPr="00C53DD0">
              <w:rPr>
                <w:rFonts w:ascii="Arial" w:hAnsi="Arial" w:cs="Arial"/>
                <w:bCs/>
                <w:sz w:val="16"/>
                <w:szCs w:val="16"/>
                <w:lang w:val="en-US"/>
              </w:rPr>
              <w:t>Individuals must record, as far as they are able, as much detail as possible regarding the accident using the STFC Brief Accident Report Form, supplied in the Hire Car Information Pack. At no time should staff admit blame or accept liability.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487B0262" w14:textId="77777777" w:rsidR="00DE4D17" w:rsidRPr="00C53DD0" w:rsidRDefault="00DE4D17" w:rsidP="00B20D4A">
            <w:pPr>
              <w:spacing w:before="120" w:after="120"/>
              <w:jc w:val="left"/>
              <w:rPr>
                <w:rFonts w:ascii="Arial" w:hAnsi="Arial"/>
                <w:sz w:val="16"/>
              </w:rPr>
            </w:pPr>
            <w:r w:rsidRPr="00C53DD0">
              <w:rPr>
                <w:rFonts w:ascii="Arial" w:hAnsi="Arial"/>
                <w:sz w:val="16"/>
              </w:rPr>
              <w:t>None</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21732CF" w14:textId="77777777" w:rsidR="00DE4D17" w:rsidRPr="00C53DD0" w:rsidRDefault="00DE4D17" w:rsidP="00B20D4A">
            <w:pPr>
              <w:spacing w:before="120" w:after="120"/>
              <w:jc w:val="left"/>
              <w:rPr>
                <w:rFonts w:ascii="Arial" w:hAnsi="Arial"/>
                <w:sz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F04F46F" w14:textId="77777777" w:rsidR="00DE4D17" w:rsidRPr="00C53DD0" w:rsidRDefault="00DE4D17" w:rsidP="00B20D4A">
            <w:pPr>
              <w:spacing w:before="120" w:after="120"/>
              <w:jc w:val="left"/>
              <w:rPr>
                <w:rFonts w:ascii="Arial" w:hAnsi="Arial"/>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19DF" w14:textId="77777777" w:rsidR="00DE4D17" w:rsidRPr="00C53DD0" w:rsidRDefault="00DE4D17" w:rsidP="00B20D4A">
            <w:pPr>
              <w:spacing w:before="120" w:after="120"/>
              <w:jc w:val="left"/>
              <w:rPr>
                <w:rFonts w:ascii="Arial" w:hAnsi="Arial"/>
                <w:sz w:val="16"/>
              </w:rPr>
            </w:pPr>
          </w:p>
        </w:tc>
      </w:tr>
      <w:tr w:rsidR="00DE4D17" w:rsidRPr="00503DAC" w14:paraId="6103180B" w14:textId="77777777" w:rsidTr="0059259E">
        <w:trPr>
          <w:trHeight w:val="227"/>
        </w:trPr>
        <w:tc>
          <w:tcPr>
            <w:tcW w:w="4608" w:type="dxa"/>
            <w:gridSpan w:val="3"/>
            <w:tcBorders>
              <w:top w:val="single" w:sz="6" w:space="0" w:color="993300"/>
              <w:left w:val="single" w:sz="6" w:space="0" w:color="993300"/>
              <w:bottom w:val="single" w:sz="6" w:space="0" w:color="993300"/>
              <w:right w:val="single" w:sz="6" w:space="0" w:color="993300"/>
            </w:tcBorders>
          </w:tcPr>
          <w:p w14:paraId="609A1108" w14:textId="77777777" w:rsidR="00DE4D17" w:rsidRPr="00503DAC" w:rsidRDefault="00DE4D17" w:rsidP="00B20D4A">
            <w:pPr>
              <w:spacing w:after="0"/>
              <w:rPr>
                <w:rFonts w:ascii="Arial" w:hAnsi="Arial"/>
                <w:color w:val="993300"/>
                <w:sz w:val="22"/>
              </w:rPr>
            </w:pPr>
            <w:r w:rsidRPr="00503DAC">
              <w:rPr>
                <w:rFonts w:ascii="Arial" w:hAnsi="Arial"/>
                <w:color w:val="993300"/>
                <w:sz w:val="22"/>
              </w:rPr>
              <w:t>Distribution List:</w:t>
            </w:r>
          </w:p>
        </w:tc>
        <w:tc>
          <w:tcPr>
            <w:tcW w:w="5310" w:type="dxa"/>
            <w:gridSpan w:val="2"/>
            <w:tcBorders>
              <w:top w:val="single" w:sz="6" w:space="0" w:color="993300"/>
              <w:left w:val="single" w:sz="6" w:space="0" w:color="993300"/>
              <w:bottom w:val="single" w:sz="6" w:space="0" w:color="993300"/>
              <w:right w:val="single" w:sz="6" w:space="0" w:color="993300"/>
            </w:tcBorders>
          </w:tcPr>
          <w:p w14:paraId="118C5B65"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r w:rsidRPr="00503DAC">
              <w:rPr>
                <w:rFonts w:ascii="Arial" w:hAnsi="Arial" w:cs="Arial"/>
                <w:color w:val="996633"/>
                <w:sz w:val="22"/>
                <w:szCs w:val="22"/>
                <w:lang w:val="en-US"/>
              </w:rPr>
              <w:t>Signed:</w:t>
            </w:r>
          </w:p>
        </w:tc>
        <w:tc>
          <w:tcPr>
            <w:tcW w:w="4932" w:type="dxa"/>
            <w:gridSpan w:val="4"/>
            <w:tcBorders>
              <w:top w:val="single" w:sz="6" w:space="0" w:color="993300"/>
              <w:bottom w:val="single" w:sz="6" w:space="0" w:color="993300"/>
              <w:right w:val="single" w:sz="6" w:space="0" w:color="993300"/>
            </w:tcBorders>
          </w:tcPr>
          <w:p w14:paraId="509AE2FE"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r w:rsidRPr="00503DAC">
              <w:rPr>
                <w:rFonts w:ascii="Arial" w:hAnsi="Arial" w:cs="Arial"/>
                <w:color w:val="996633"/>
                <w:sz w:val="22"/>
                <w:szCs w:val="22"/>
                <w:lang w:val="en-US"/>
              </w:rPr>
              <w:t>Date:</w:t>
            </w:r>
          </w:p>
        </w:tc>
      </w:tr>
      <w:tr w:rsidR="00DE4D17" w:rsidRPr="00503DAC" w14:paraId="37B21DAD" w14:textId="77777777" w:rsidTr="0059259E">
        <w:trPr>
          <w:trHeight w:val="340"/>
        </w:trPr>
        <w:tc>
          <w:tcPr>
            <w:tcW w:w="4608" w:type="dxa"/>
            <w:gridSpan w:val="3"/>
            <w:tcBorders>
              <w:top w:val="single" w:sz="6" w:space="0" w:color="993300"/>
              <w:left w:val="single" w:sz="6" w:space="0" w:color="993300"/>
              <w:bottom w:val="single" w:sz="6" w:space="0" w:color="993300"/>
              <w:right w:val="single" w:sz="6" w:space="0" w:color="993300"/>
            </w:tcBorders>
          </w:tcPr>
          <w:p w14:paraId="4EBE3BCE" w14:textId="77777777" w:rsidR="00DE4D17" w:rsidRPr="00503DAC" w:rsidRDefault="00DE4D17" w:rsidP="00B20D4A">
            <w:pPr>
              <w:spacing w:after="0"/>
              <w:rPr>
                <w:rFonts w:ascii="Arial" w:hAnsi="Arial"/>
                <w:color w:val="993300"/>
                <w:sz w:val="22"/>
              </w:rPr>
            </w:pPr>
          </w:p>
        </w:tc>
        <w:tc>
          <w:tcPr>
            <w:tcW w:w="5310" w:type="dxa"/>
            <w:gridSpan w:val="2"/>
            <w:tcBorders>
              <w:top w:val="single" w:sz="6" w:space="0" w:color="993300"/>
              <w:left w:val="single" w:sz="6" w:space="0" w:color="993300"/>
              <w:bottom w:val="single" w:sz="6" w:space="0" w:color="993300"/>
              <w:right w:val="single" w:sz="6" w:space="0" w:color="993300"/>
            </w:tcBorders>
          </w:tcPr>
          <w:p w14:paraId="7309378F"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p>
        </w:tc>
        <w:tc>
          <w:tcPr>
            <w:tcW w:w="4932" w:type="dxa"/>
            <w:gridSpan w:val="4"/>
            <w:tcBorders>
              <w:top w:val="single" w:sz="6" w:space="0" w:color="993300"/>
              <w:bottom w:val="single" w:sz="6" w:space="0" w:color="993300"/>
              <w:right w:val="single" w:sz="6" w:space="0" w:color="993300"/>
            </w:tcBorders>
          </w:tcPr>
          <w:p w14:paraId="43A54E1A"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p>
        </w:tc>
      </w:tr>
      <w:tr w:rsidR="00DE4D17" w:rsidRPr="00503DAC" w14:paraId="4B46479F" w14:textId="77777777" w:rsidTr="0059259E">
        <w:trPr>
          <w:trHeight w:val="340"/>
        </w:trPr>
        <w:tc>
          <w:tcPr>
            <w:tcW w:w="4608" w:type="dxa"/>
            <w:gridSpan w:val="3"/>
            <w:tcBorders>
              <w:top w:val="single" w:sz="6" w:space="0" w:color="993300"/>
              <w:left w:val="single" w:sz="6" w:space="0" w:color="993300"/>
              <w:bottom w:val="single" w:sz="6" w:space="0" w:color="993300"/>
              <w:right w:val="single" w:sz="6" w:space="0" w:color="993300"/>
            </w:tcBorders>
          </w:tcPr>
          <w:p w14:paraId="472954B5" w14:textId="77777777" w:rsidR="00DE4D17" w:rsidRPr="00503DAC" w:rsidRDefault="00DE4D17" w:rsidP="00B20D4A">
            <w:pPr>
              <w:spacing w:after="0"/>
              <w:rPr>
                <w:rFonts w:ascii="Arial" w:hAnsi="Arial"/>
                <w:color w:val="993300"/>
                <w:sz w:val="22"/>
              </w:rPr>
            </w:pPr>
          </w:p>
        </w:tc>
        <w:tc>
          <w:tcPr>
            <w:tcW w:w="5310" w:type="dxa"/>
            <w:gridSpan w:val="2"/>
            <w:tcBorders>
              <w:top w:val="single" w:sz="6" w:space="0" w:color="993300"/>
              <w:left w:val="single" w:sz="6" w:space="0" w:color="993300"/>
              <w:bottom w:val="single" w:sz="6" w:space="0" w:color="993300"/>
              <w:right w:val="single" w:sz="6" w:space="0" w:color="993300"/>
            </w:tcBorders>
          </w:tcPr>
          <w:p w14:paraId="17A37BF3"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p>
        </w:tc>
        <w:tc>
          <w:tcPr>
            <w:tcW w:w="4932" w:type="dxa"/>
            <w:gridSpan w:val="4"/>
            <w:tcBorders>
              <w:top w:val="single" w:sz="6" w:space="0" w:color="993300"/>
              <w:bottom w:val="single" w:sz="6" w:space="0" w:color="993300"/>
              <w:right w:val="single" w:sz="6" w:space="0" w:color="993300"/>
            </w:tcBorders>
          </w:tcPr>
          <w:p w14:paraId="75D6C4BC"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p>
        </w:tc>
      </w:tr>
      <w:tr w:rsidR="00DE4D17" w:rsidRPr="00503DAC" w14:paraId="205198E5" w14:textId="77777777" w:rsidTr="0059259E">
        <w:trPr>
          <w:trHeight w:val="340"/>
        </w:trPr>
        <w:tc>
          <w:tcPr>
            <w:tcW w:w="4608" w:type="dxa"/>
            <w:gridSpan w:val="3"/>
            <w:tcBorders>
              <w:top w:val="single" w:sz="6" w:space="0" w:color="993300"/>
              <w:left w:val="single" w:sz="6" w:space="0" w:color="993300"/>
              <w:bottom w:val="single" w:sz="6" w:space="0" w:color="993300"/>
              <w:right w:val="single" w:sz="6" w:space="0" w:color="993300"/>
            </w:tcBorders>
          </w:tcPr>
          <w:p w14:paraId="62368B2E" w14:textId="77777777" w:rsidR="00DE4D17" w:rsidRPr="00503DAC" w:rsidRDefault="00DE4D17" w:rsidP="00B20D4A">
            <w:pPr>
              <w:spacing w:after="0"/>
              <w:rPr>
                <w:rFonts w:ascii="Arial" w:hAnsi="Arial"/>
                <w:color w:val="993300"/>
                <w:sz w:val="22"/>
              </w:rPr>
            </w:pPr>
          </w:p>
        </w:tc>
        <w:tc>
          <w:tcPr>
            <w:tcW w:w="5310" w:type="dxa"/>
            <w:gridSpan w:val="2"/>
            <w:tcBorders>
              <w:top w:val="single" w:sz="6" w:space="0" w:color="993300"/>
              <w:left w:val="single" w:sz="6" w:space="0" w:color="993300"/>
              <w:bottom w:val="single" w:sz="6" w:space="0" w:color="993300"/>
              <w:right w:val="single" w:sz="6" w:space="0" w:color="993300"/>
            </w:tcBorders>
          </w:tcPr>
          <w:p w14:paraId="61865D8B"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p>
        </w:tc>
        <w:tc>
          <w:tcPr>
            <w:tcW w:w="4932" w:type="dxa"/>
            <w:gridSpan w:val="4"/>
            <w:tcBorders>
              <w:top w:val="single" w:sz="6" w:space="0" w:color="993300"/>
              <w:bottom w:val="single" w:sz="6" w:space="0" w:color="993300"/>
              <w:right w:val="single" w:sz="6" w:space="0" w:color="993300"/>
            </w:tcBorders>
          </w:tcPr>
          <w:p w14:paraId="7ABF84AB" w14:textId="77777777" w:rsidR="00DE4D17" w:rsidRPr="00503DAC" w:rsidRDefault="00DE4D17" w:rsidP="00B20D4A">
            <w:pPr>
              <w:widowControl w:val="0"/>
              <w:autoSpaceDE w:val="0"/>
              <w:autoSpaceDN w:val="0"/>
              <w:adjustRightInd w:val="0"/>
              <w:spacing w:after="0"/>
              <w:jc w:val="center"/>
              <w:rPr>
                <w:rFonts w:ascii="Arial" w:hAnsi="Arial" w:cs="Arial"/>
                <w:color w:val="996633"/>
                <w:sz w:val="22"/>
                <w:szCs w:val="22"/>
                <w:lang w:val="en-US"/>
              </w:rPr>
            </w:pPr>
          </w:p>
        </w:tc>
      </w:tr>
      <w:tr w:rsidR="00DE4D17" w:rsidRPr="00767B70" w14:paraId="65D4DCB6" w14:textId="77777777" w:rsidTr="0059259E">
        <w:trPr>
          <w:trHeight w:val="340"/>
        </w:trPr>
        <w:tc>
          <w:tcPr>
            <w:tcW w:w="4608" w:type="dxa"/>
            <w:gridSpan w:val="3"/>
            <w:tcBorders>
              <w:top w:val="single" w:sz="6" w:space="0" w:color="993300"/>
              <w:left w:val="single" w:sz="6" w:space="0" w:color="993300"/>
              <w:bottom w:val="single" w:sz="6" w:space="0" w:color="993300"/>
              <w:right w:val="single" w:sz="6" w:space="0" w:color="993300"/>
            </w:tcBorders>
          </w:tcPr>
          <w:p w14:paraId="75635DEF" w14:textId="77777777" w:rsidR="00DE4D17" w:rsidRDefault="00DE4D17" w:rsidP="00B20D4A">
            <w:pPr>
              <w:spacing w:after="0"/>
              <w:rPr>
                <w:rFonts w:ascii="Arial" w:hAnsi="Arial"/>
                <w:color w:val="993300"/>
                <w:sz w:val="22"/>
              </w:rPr>
            </w:pPr>
          </w:p>
        </w:tc>
        <w:tc>
          <w:tcPr>
            <w:tcW w:w="5310" w:type="dxa"/>
            <w:gridSpan w:val="2"/>
            <w:tcBorders>
              <w:top w:val="single" w:sz="6" w:space="0" w:color="993300"/>
              <w:left w:val="single" w:sz="6" w:space="0" w:color="993300"/>
              <w:bottom w:val="single" w:sz="6" w:space="0" w:color="993300"/>
              <w:right w:val="single" w:sz="6" w:space="0" w:color="993300"/>
            </w:tcBorders>
          </w:tcPr>
          <w:p w14:paraId="00178460" w14:textId="77777777" w:rsidR="00DE4D17" w:rsidRPr="00DA52A6" w:rsidRDefault="00DE4D17" w:rsidP="00B20D4A">
            <w:pPr>
              <w:widowControl w:val="0"/>
              <w:autoSpaceDE w:val="0"/>
              <w:autoSpaceDN w:val="0"/>
              <w:adjustRightInd w:val="0"/>
              <w:spacing w:after="0"/>
              <w:jc w:val="center"/>
              <w:rPr>
                <w:rFonts w:ascii="Arial" w:hAnsi="Arial" w:cs="Arial"/>
                <w:color w:val="996633"/>
                <w:sz w:val="22"/>
                <w:szCs w:val="22"/>
                <w:lang w:val="en-US"/>
              </w:rPr>
            </w:pPr>
          </w:p>
        </w:tc>
        <w:tc>
          <w:tcPr>
            <w:tcW w:w="4932" w:type="dxa"/>
            <w:gridSpan w:val="4"/>
            <w:tcBorders>
              <w:top w:val="single" w:sz="6" w:space="0" w:color="993300"/>
              <w:bottom w:val="single" w:sz="6" w:space="0" w:color="993300"/>
              <w:right w:val="single" w:sz="6" w:space="0" w:color="993300"/>
            </w:tcBorders>
          </w:tcPr>
          <w:p w14:paraId="213E15BE" w14:textId="77777777" w:rsidR="00DE4D17" w:rsidRPr="00DA52A6" w:rsidRDefault="00DE4D17" w:rsidP="00B20D4A">
            <w:pPr>
              <w:widowControl w:val="0"/>
              <w:autoSpaceDE w:val="0"/>
              <w:autoSpaceDN w:val="0"/>
              <w:adjustRightInd w:val="0"/>
              <w:spacing w:after="0"/>
              <w:jc w:val="center"/>
              <w:rPr>
                <w:rFonts w:ascii="Arial" w:hAnsi="Arial" w:cs="Arial"/>
                <w:color w:val="996633"/>
                <w:sz w:val="22"/>
                <w:szCs w:val="22"/>
                <w:lang w:val="en-US"/>
              </w:rPr>
            </w:pPr>
          </w:p>
        </w:tc>
      </w:tr>
      <w:tr w:rsidR="004C452C" w:rsidRPr="00767B70" w14:paraId="4786348A" w14:textId="77777777" w:rsidTr="003724CC">
        <w:trPr>
          <w:trHeight w:val="454"/>
        </w:trPr>
        <w:tc>
          <w:tcPr>
            <w:tcW w:w="4608" w:type="dxa"/>
            <w:gridSpan w:val="3"/>
            <w:tcBorders>
              <w:top w:val="single" w:sz="6" w:space="0" w:color="993300"/>
              <w:left w:val="single" w:sz="6" w:space="0" w:color="993300"/>
              <w:bottom w:val="single" w:sz="6" w:space="0" w:color="993300"/>
              <w:right w:val="single" w:sz="6" w:space="0" w:color="993300"/>
            </w:tcBorders>
          </w:tcPr>
          <w:p w14:paraId="0CEFAEDC" w14:textId="08F2C439" w:rsidR="004C452C" w:rsidRDefault="004C452C" w:rsidP="00B20D4A">
            <w:pPr>
              <w:spacing w:after="0"/>
              <w:rPr>
                <w:rFonts w:ascii="Arial" w:hAnsi="Arial"/>
                <w:color w:val="993300"/>
                <w:sz w:val="22"/>
              </w:rPr>
            </w:pPr>
            <w:r w:rsidRPr="001C21C4">
              <w:rPr>
                <w:rFonts w:ascii="Arial" w:hAnsi="Arial"/>
                <w:color w:val="538135"/>
                <w:sz w:val="18"/>
                <w:szCs w:val="18"/>
              </w:rPr>
              <w:t xml:space="preserve">Has the assessment been entered </w:t>
            </w:r>
            <w:proofErr w:type="spellStart"/>
            <w:r w:rsidRPr="001C21C4">
              <w:rPr>
                <w:rFonts w:ascii="Arial" w:hAnsi="Arial"/>
                <w:color w:val="538135"/>
                <w:sz w:val="18"/>
                <w:szCs w:val="18"/>
              </w:rPr>
              <w:t>Evotix</w:t>
            </w:r>
            <w:proofErr w:type="spellEnd"/>
            <w:r w:rsidRPr="001C21C4">
              <w:rPr>
                <w:rFonts w:ascii="Arial" w:hAnsi="Arial"/>
                <w:color w:val="538135"/>
                <w:sz w:val="18"/>
                <w:szCs w:val="18"/>
              </w:rPr>
              <w:t xml:space="preserve"> Assure ?</w:t>
            </w:r>
          </w:p>
        </w:tc>
        <w:tc>
          <w:tcPr>
            <w:tcW w:w="10242" w:type="dxa"/>
            <w:gridSpan w:val="6"/>
            <w:tcBorders>
              <w:top w:val="single" w:sz="6" w:space="0" w:color="993300"/>
              <w:left w:val="single" w:sz="6" w:space="0" w:color="993300"/>
              <w:bottom w:val="single" w:sz="6" w:space="0" w:color="993300"/>
              <w:right w:val="single" w:sz="6" w:space="0" w:color="993300"/>
            </w:tcBorders>
          </w:tcPr>
          <w:p w14:paraId="2FE0360C" w14:textId="799E255C" w:rsidR="004C452C" w:rsidRPr="00DA52A6" w:rsidRDefault="004C452C" w:rsidP="004C452C">
            <w:pPr>
              <w:widowControl w:val="0"/>
              <w:autoSpaceDE w:val="0"/>
              <w:autoSpaceDN w:val="0"/>
              <w:adjustRightInd w:val="0"/>
              <w:spacing w:after="0"/>
              <w:rPr>
                <w:rFonts w:ascii="Arial" w:hAnsi="Arial" w:cs="Arial"/>
                <w:color w:val="996633"/>
                <w:sz w:val="22"/>
                <w:szCs w:val="22"/>
                <w:lang w:val="en-US"/>
              </w:rPr>
            </w:pPr>
            <w:r w:rsidRPr="009A3C50">
              <w:rPr>
                <w:rFonts w:ascii="Arial Narrow" w:hAnsi="Arial Narrow"/>
                <w:sz w:val="20"/>
              </w:rPr>
              <w:t>Yes</w:t>
            </w:r>
            <w:r w:rsidRPr="009A3C50">
              <w:rPr>
                <w:rFonts w:ascii="Arial Narrow" w:hAnsi="Arial Narrow"/>
                <w:sz w:val="20"/>
              </w:rPr>
              <w:tab/>
            </w:r>
            <w:r w:rsidRPr="009A3C50">
              <w:rPr>
                <w:rFonts w:ascii="Arial Narrow" w:hAnsi="Arial Narrow"/>
                <w:sz w:val="20"/>
              </w:rPr>
              <w:sym w:font="Wingdings" w:char="F06F"/>
            </w:r>
            <w:r w:rsidRPr="009A3C50">
              <w:rPr>
                <w:rFonts w:ascii="Arial Narrow" w:hAnsi="Arial Narrow"/>
                <w:sz w:val="20"/>
              </w:rPr>
              <w:tab/>
              <w:t>No</w:t>
            </w:r>
            <w:r w:rsidRPr="009A3C50">
              <w:rPr>
                <w:rFonts w:ascii="Arial Narrow" w:hAnsi="Arial Narrow"/>
                <w:sz w:val="20"/>
              </w:rPr>
              <w:tab/>
            </w:r>
            <w:r w:rsidRPr="009A3C50">
              <w:rPr>
                <w:rFonts w:ascii="Arial Narrow" w:hAnsi="Arial Narrow"/>
                <w:sz w:val="20"/>
              </w:rPr>
              <w:sym w:font="Wingdings" w:char="F06F"/>
            </w:r>
            <w:r w:rsidRPr="009A3C50">
              <w:rPr>
                <w:rFonts w:ascii="Arial Narrow" w:hAnsi="Arial Narrow"/>
                <w:sz w:val="20"/>
              </w:rPr>
              <w:tab/>
            </w:r>
            <w:proofErr w:type="spellStart"/>
            <w:r>
              <w:rPr>
                <w:rFonts w:ascii="Arial Narrow" w:hAnsi="Arial Narrow"/>
                <w:sz w:val="20"/>
              </w:rPr>
              <w:t>Evotix</w:t>
            </w:r>
            <w:proofErr w:type="spellEnd"/>
            <w:r w:rsidRPr="009A3C50">
              <w:rPr>
                <w:rFonts w:ascii="Arial Narrow" w:hAnsi="Arial Narrow"/>
                <w:sz w:val="20"/>
              </w:rPr>
              <w:t xml:space="preserve"> Assure ref no:</w:t>
            </w:r>
          </w:p>
        </w:tc>
      </w:tr>
      <w:tr w:rsidR="00DE4D17" w:rsidRPr="00767B70" w14:paraId="5A3B0A25" w14:textId="77777777" w:rsidTr="0059259E">
        <w:trPr>
          <w:trHeight w:val="737"/>
        </w:trPr>
        <w:tc>
          <w:tcPr>
            <w:tcW w:w="4608" w:type="dxa"/>
            <w:gridSpan w:val="3"/>
            <w:tcBorders>
              <w:top w:val="single" w:sz="6" w:space="0" w:color="993300"/>
              <w:left w:val="single" w:sz="6" w:space="0" w:color="993300"/>
              <w:bottom w:val="single" w:sz="6" w:space="0" w:color="993300"/>
            </w:tcBorders>
            <w:vAlign w:val="center"/>
          </w:tcPr>
          <w:p w14:paraId="32240C8F" w14:textId="77777777" w:rsidR="00DE4D17" w:rsidRPr="00767B70" w:rsidRDefault="00DE4D17" w:rsidP="00B20D4A">
            <w:pPr>
              <w:spacing w:after="0"/>
              <w:rPr>
                <w:rFonts w:ascii="Arial" w:hAnsi="Arial"/>
                <w:color w:val="993300"/>
                <w:sz w:val="22"/>
              </w:rPr>
            </w:pPr>
            <w:r w:rsidRPr="00767B70">
              <w:rPr>
                <w:rFonts w:ascii="Arial" w:hAnsi="Arial"/>
                <w:color w:val="993300"/>
                <w:sz w:val="22"/>
              </w:rPr>
              <w:t>Step 5 Review Date:</w:t>
            </w:r>
          </w:p>
        </w:tc>
        <w:tc>
          <w:tcPr>
            <w:tcW w:w="10242" w:type="dxa"/>
            <w:gridSpan w:val="6"/>
            <w:tcBorders>
              <w:top w:val="single" w:sz="6" w:space="0" w:color="993300"/>
              <w:bottom w:val="single" w:sz="6" w:space="0" w:color="993300"/>
              <w:right w:val="single" w:sz="6" w:space="0" w:color="993300"/>
            </w:tcBorders>
          </w:tcPr>
          <w:p w14:paraId="2C0286A5" w14:textId="77777777" w:rsidR="00DE4D17" w:rsidRDefault="00DE4D17" w:rsidP="00B20D4A">
            <w:pPr>
              <w:widowControl w:val="0"/>
              <w:autoSpaceDE w:val="0"/>
              <w:autoSpaceDN w:val="0"/>
              <w:adjustRightInd w:val="0"/>
              <w:spacing w:after="0"/>
              <w:ind w:left="360"/>
              <w:rPr>
                <w:rFonts w:ascii="Arial Narrow" w:hAnsi="Arial Narrow"/>
                <w:color w:val="000000"/>
                <w:sz w:val="18"/>
                <w:szCs w:val="16"/>
                <w:lang w:val="en-US"/>
              </w:rPr>
            </w:pPr>
          </w:p>
          <w:p w14:paraId="77F4205C" w14:textId="77777777" w:rsidR="00DE4D17" w:rsidRPr="00767B70" w:rsidRDefault="00DE4D17" w:rsidP="00DE4D17">
            <w:pPr>
              <w:widowControl w:val="0"/>
              <w:numPr>
                <w:ilvl w:val="0"/>
                <w:numId w:val="1"/>
              </w:numPr>
              <w:autoSpaceDE w:val="0"/>
              <w:autoSpaceDN w:val="0"/>
              <w:adjustRightInd w:val="0"/>
              <w:spacing w:after="0"/>
              <w:rPr>
                <w:rFonts w:ascii="Arial Narrow" w:hAnsi="Arial Narrow"/>
                <w:color w:val="000000"/>
                <w:sz w:val="18"/>
                <w:szCs w:val="16"/>
                <w:lang w:val="en-US"/>
              </w:rPr>
            </w:pPr>
            <w:r w:rsidRPr="00767B70">
              <w:rPr>
                <w:rFonts w:ascii="Arial Narrow" w:hAnsi="Arial Narrow"/>
                <w:color w:val="000000"/>
                <w:sz w:val="18"/>
                <w:szCs w:val="16"/>
                <w:lang w:val="en-US"/>
              </w:rPr>
              <w:t>Review your assessment to make sure you are still improving, or at least not sliding back.</w:t>
            </w:r>
          </w:p>
          <w:p w14:paraId="6B8A6101" w14:textId="77777777" w:rsidR="00DE4D17" w:rsidRPr="00DE4D17" w:rsidRDefault="00DE4D17" w:rsidP="00DE4D17">
            <w:pPr>
              <w:widowControl w:val="0"/>
              <w:numPr>
                <w:ilvl w:val="0"/>
                <w:numId w:val="1"/>
              </w:numPr>
              <w:autoSpaceDE w:val="0"/>
              <w:autoSpaceDN w:val="0"/>
              <w:adjustRightInd w:val="0"/>
              <w:spacing w:after="0"/>
              <w:rPr>
                <w:rFonts w:ascii="Arial Narrow" w:hAnsi="Arial Narrow"/>
                <w:color w:val="000000"/>
                <w:sz w:val="18"/>
                <w:lang w:val="en-US"/>
              </w:rPr>
            </w:pPr>
            <w:r w:rsidRPr="00767B70">
              <w:rPr>
                <w:rFonts w:ascii="Arial Narrow" w:hAnsi="Arial Narrow"/>
                <w:color w:val="000000"/>
                <w:sz w:val="18"/>
                <w:szCs w:val="16"/>
                <w:lang w:val="en-US"/>
              </w:rPr>
              <w:t>If there is a significant change in your workplace, remember to check your risk assessment and where necessary, amend it.</w:t>
            </w:r>
          </w:p>
          <w:p w14:paraId="36B85FAC" w14:textId="77777777" w:rsidR="00DE4D17" w:rsidRPr="00C84454" w:rsidRDefault="00DE4D17" w:rsidP="00DE4D17">
            <w:pPr>
              <w:widowControl w:val="0"/>
              <w:numPr>
                <w:ilvl w:val="0"/>
                <w:numId w:val="1"/>
              </w:numPr>
              <w:autoSpaceDE w:val="0"/>
              <w:autoSpaceDN w:val="0"/>
              <w:adjustRightInd w:val="0"/>
              <w:spacing w:after="0"/>
              <w:rPr>
                <w:rFonts w:ascii="Arial Narrow" w:hAnsi="Arial Narrow"/>
                <w:color w:val="000000"/>
                <w:sz w:val="18"/>
                <w:lang w:val="en-US"/>
              </w:rPr>
            </w:pPr>
            <w:r>
              <w:rPr>
                <w:rFonts w:ascii="Arial Narrow" w:hAnsi="Arial Narrow"/>
                <w:color w:val="000000"/>
                <w:sz w:val="18"/>
                <w:szCs w:val="16"/>
                <w:lang w:val="en-US"/>
              </w:rPr>
              <w:t>Have you p</w:t>
            </w:r>
            <w:r w:rsidR="002C7E49">
              <w:rPr>
                <w:rFonts w:ascii="Arial Narrow" w:hAnsi="Arial Narrow"/>
                <w:color w:val="000000"/>
                <w:sz w:val="18"/>
                <w:szCs w:val="16"/>
                <w:lang w:val="en-US"/>
              </w:rPr>
              <w:t xml:space="preserve">laced this risk assessment in </w:t>
            </w:r>
            <w:r>
              <w:rPr>
                <w:rFonts w:ascii="Arial Narrow" w:hAnsi="Arial Narrow"/>
                <w:color w:val="000000"/>
                <w:sz w:val="18"/>
                <w:szCs w:val="16"/>
                <w:lang w:val="en-US"/>
              </w:rPr>
              <w:t>E</w:t>
            </w:r>
            <w:r w:rsidR="002C7E49">
              <w:rPr>
                <w:rFonts w:ascii="Arial Narrow" w:hAnsi="Arial Narrow"/>
                <w:color w:val="000000"/>
                <w:sz w:val="18"/>
                <w:szCs w:val="16"/>
                <w:lang w:val="en-US"/>
              </w:rPr>
              <w:t>votix</w:t>
            </w:r>
            <w:r>
              <w:rPr>
                <w:rFonts w:ascii="Arial Narrow" w:hAnsi="Arial Narrow"/>
                <w:color w:val="000000"/>
                <w:sz w:val="18"/>
                <w:szCs w:val="16"/>
                <w:lang w:val="en-US"/>
              </w:rPr>
              <w:t xml:space="preserve"> Assure?</w:t>
            </w:r>
          </w:p>
        </w:tc>
      </w:tr>
    </w:tbl>
    <w:p w14:paraId="26012448" w14:textId="77777777" w:rsidR="00CC5692" w:rsidRDefault="00CC5692"/>
    <w:sectPr w:rsidR="00CC5692" w:rsidSect="00DE4D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25F72"/>
    <w:multiLevelType w:val="hybridMultilevel"/>
    <w:tmpl w:val="A04A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17"/>
    <w:rsid w:val="002C7E49"/>
    <w:rsid w:val="002D0435"/>
    <w:rsid w:val="004C452C"/>
    <w:rsid w:val="0059259E"/>
    <w:rsid w:val="00A05BBA"/>
    <w:rsid w:val="00CC5692"/>
    <w:rsid w:val="00D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8017"/>
  <w15:chartTrackingRefBased/>
  <w15:docId w15:val="{5C9FA397-A77B-4635-826F-4571091C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17"/>
    <w:pPr>
      <w:spacing w:after="240" w:line="240" w:lineRule="auto"/>
      <w:jc w:val="both"/>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4D17"/>
    <w:rPr>
      <w:color w:val="0000FF"/>
      <w:u w:val="single"/>
    </w:rPr>
  </w:style>
  <w:style w:type="paragraph" w:styleId="BodyText">
    <w:name w:val="Body Text"/>
    <w:basedOn w:val="Normal"/>
    <w:link w:val="BodyTextChar"/>
    <w:rsid w:val="00DE4D17"/>
    <w:pPr>
      <w:jc w:val="left"/>
    </w:pPr>
    <w:rPr>
      <w:sz w:val="22"/>
    </w:rPr>
  </w:style>
  <w:style w:type="character" w:customStyle="1" w:styleId="BodyTextChar">
    <w:name w:val="Body Text Char"/>
    <w:basedOn w:val="DefaultParagraphFont"/>
    <w:link w:val="BodyText"/>
    <w:rsid w:val="00DE4D17"/>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tfc.ac.uk/core/travel/Pages/DrivingPermi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the-highwa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52584-71DE-486C-8224-43ABBFECD64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AE58114-52DA-4017-BD7F-5A18074B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38225-8C4E-4FB8-8322-3F96F726C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(STFC,DL,CSD)</dc:creator>
  <cp:keywords/>
  <dc:description/>
  <cp:lastModifiedBy>Baker, Gareth (STFC,DL,COO)</cp:lastModifiedBy>
  <cp:revision>3</cp:revision>
  <dcterms:created xsi:type="dcterms:W3CDTF">2022-04-05T10:51:00Z</dcterms:created>
  <dcterms:modified xsi:type="dcterms:W3CDTF">2022-07-26T08:21:00Z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